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eastAsia="方正仿宋_GBK"/>
          <w:color w:val="000000"/>
          <w:sz w:val="28"/>
          <w:szCs w:val="28"/>
        </w:rPr>
      </w:pPr>
      <w:r>
        <w:rPr>
          <w:rFonts w:hint="eastAsia" w:ascii="方正仿宋_GBK" w:eastAsia="方正仿宋_GBK"/>
          <w:color w:val="000000"/>
          <w:sz w:val="28"/>
          <w:szCs w:val="28"/>
        </w:rPr>
        <w:t>附件一</w:t>
      </w:r>
    </w:p>
    <w:p>
      <w:pPr>
        <w:adjustRightInd w:val="0"/>
        <w:snapToGrid w:val="0"/>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重庆城市管理职业学院</w:t>
      </w:r>
    </w:p>
    <w:p>
      <w:pPr>
        <w:adjustRightInd w:val="0"/>
        <w:snapToGrid w:val="0"/>
        <w:spacing w:line="520" w:lineRule="exact"/>
        <w:jc w:val="center"/>
        <w:rPr>
          <w:rFonts w:hint="eastAsia" w:ascii="方正小标宋_GBK" w:hAnsi="宋体" w:eastAsia="方正小标宋_GBK"/>
          <w:color w:val="000000"/>
          <w:sz w:val="36"/>
          <w:szCs w:val="36"/>
          <w:lang w:val="en-US" w:eastAsia="zh-CN"/>
        </w:rPr>
      </w:pPr>
      <w:r>
        <w:rPr>
          <w:rFonts w:hint="eastAsia" w:ascii="方正小标宋_GBK" w:hAnsi="宋体" w:eastAsia="方正小标宋_GBK"/>
          <w:color w:val="000000"/>
          <w:sz w:val="36"/>
          <w:szCs w:val="36"/>
          <w:lang w:val="en-US" w:eastAsia="zh-CN"/>
        </w:rPr>
        <w:t>2023-2024年电梯维保服务项目要求及技术标准</w:t>
      </w:r>
    </w:p>
    <w:p>
      <w:pPr>
        <w:adjustRightInd w:val="0"/>
        <w:snapToGrid w:val="0"/>
        <w:spacing w:line="500" w:lineRule="exact"/>
        <w:jc w:val="left"/>
        <w:rPr>
          <w:rFonts w:hint="eastAsia" w:ascii="方正黑体_GBK" w:hAnsi="仿宋" w:eastAsia="方正黑体_GBK"/>
          <w:sz w:val="28"/>
          <w:szCs w:val="28"/>
        </w:rPr>
      </w:pPr>
    </w:p>
    <w:p>
      <w:pPr>
        <w:adjustRightInd w:val="0"/>
        <w:snapToGrid w:val="0"/>
        <w:spacing w:line="500" w:lineRule="exact"/>
        <w:jc w:val="left"/>
        <w:rPr>
          <w:rFonts w:ascii="方正黑体_GBK" w:hAnsi="仿宋" w:eastAsia="方正黑体_GBK"/>
          <w:sz w:val="28"/>
          <w:szCs w:val="28"/>
        </w:rPr>
      </w:pPr>
      <w:r>
        <w:rPr>
          <w:rFonts w:hint="eastAsia" w:ascii="方正黑体_GBK" w:hAnsi="仿宋" w:eastAsia="方正黑体_GBK"/>
          <w:sz w:val="28"/>
          <w:szCs w:val="28"/>
        </w:rPr>
        <w:t>一、项目简介</w:t>
      </w:r>
    </w:p>
    <w:p>
      <w:pPr>
        <w:widowControl/>
        <w:shd w:val="clear" w:color="auto" w:fill="FFFFFF"/>
        <w:adjustRightInd w:val="0"/>
        <w:snapToGrid w:val="0"/>
        <w:spacing w:line="500" w:lineRule="exact"/>
        <w:ind w:firstLine="560" w:firstLineChars="200"/>
        <w:rPr>
          <w:rFonts w:ascii="仿宋" w:hAnsi="仿宋" w:eastAsia="仿宋" w:cs="宋体"/>
          <w:kern w:val="0"/>
          <w:sz w:val="28"/>
          <w:szCs w:val="28"/>
        </w:rPr>
      </w:pPr>
      <w:r>
        <w:rPr>
          <w:rFonts w:hint="eastAsia" w:ascii="仿宋" w:hAnsi="仿宋" w:eastAsia="仿宋"/>
          <w:sz w:val="28"/>
          <w:szCs w:val="28"/>
        </w:rPr>
        <w:t>重庆城市管理职业学院位于重庆市高新区大学城南二路151号，现有</w:t>
      </w:r>
      <w:r>
        <w:rPr>
          <w:rFonts w:hint="eastAsia" w:ascii="仿宋" w:hAnsi="仿宋" w:eastAsia="仿宋"/>
          <w:sz w:val="28"/>
          <w:szCs w:val="28"/>
          <w:lang w:eastAsia="zh-CN"/>
        </w:rPr>
        <w:t>电梯</w:t>
      </w:r>
      <w:r>
        <w:rPr>
          <w:rFonts w:hint="eastAsia" w:ascii="仿宋" w:hAnsi="仿宋" w:eastAsia="仿宋"/>
          <w:sz w:val="28"/>
          <w:szCs w:val="28"/>
          <w:lang w:val="en-US" w:eastAsia="zh-CN"/>
        </w:rPr>
        <w:t>8台</w:t>
      </w:r>
      <w:r>
        <w:rPr>
          <w:rFonts w:hint="eastAsia" w:ascii="仿宋" w:hAnsi="仿宋" w:eastAsia="仿宋"/>
          <w:kern w:val="0"/>
          <w:sz w:val="28"/>
          <w:szCs w:val="28"/>
        </w:rPr>
        <w:t>维护保养服务外包。</w:t>
      </w:r>
      <w:r>
        <w:rPr>
          <w:rFonts w:hint="eastAsia" w:ascii="仿宋" w:hAnsi="仿宋" w:eastAsia="仿宋" w:cs="宋体"/>
          <w:kern w:val="0"/>
          <w:sz w:val="28"/>
          <w:szCs w:val="28"/>
        </w:rPr>
        <w:t xml:space="preserve">欢迎符合资格要求并有维护保养能力的服务商踊跃参加。 </w:t>
      </w:r>
    </w:p>
    <w:p>
      <w:pPr>
        <w:adjustRightInd w:val="0"/>
        <w:snapToGrid w:val="0"/>
        <w:spacing w:line="500" w:lineRule="exact"/>
        <w:jc w:val="left"/>
        <w:rPr>
          <w:rFonts w:hint="eastAsia" w:ascii="方正黑体_GBK" w:hAnsi="仿宋" w:eastAsia="方正黑体_GBK"/>
          <w:sz w:val="28"/>
          <w:szCs w:val="28"/>
        </w:rPr>
      </w:pPr>
      <w:r>
        <w:rPr>
          <w:rFonts w:hint="eastAsia" w:ascii="方正黑体_GBK" w:hAnsi="仿宋" w:eastAsia="方正黑体_GBK"/>
          <w:sz w:val="28"/>
          <w:szCs w:val="28"/>
        </w:rPr>
        <w:t>一、项目内容：</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（一）重庆城市管理职业学院</w:t>
      </w:r>
      <w:r>
        <w:rPr>
          <w:rFonts w:hint="eastAsia" w:ascii="仿宋" w:hAnsi="仿宋" w:eastAsia="仿宋"/>
          <w:sz w:val="28"/>
          <w:szCs w:val="28"/>
          <w:lang w:val="en-US" w:eastAsia="zh-CN"/>
        </w:rPr>
        <w:t>8</w:t>
      </w:r>
      <w:r>
        <w:rPr>
          <w:rFonts w:hint="eastAsia" w:ascii="仿宋" w:hAnsi="仿宋" w:eastAsia="仿宋"/>
          <w:sz w:val="28"/>
          <w:szCs w:val="28"/>
        </w:rPr>
        <w:t>部电梯维保，</w:t>
      </w:r>
      <w:r>
        <w:rPr>
          <w:rFonts w:hint="eastAsia" w:ascii="仿宋" w:hAnsi="仿宋" w:eastAsia="仿宋"/>
          <w:sz w:val="28"/>
          <w:szCs w:val="28"/>
          <w:lang w:eastAsia="zh-CN"/>
        </w:rPr>
        <w:t>苏州铃木电梯（</w:t>
      </w:r>
      <w:r>
        <w:rPr>
          <w:rFonts w:hint="eastAsia" w:ascii="仿宋" w:hAnsi="仿宋" w:eastAsia="仿宋"/>
          <w:sz w:val="28"/>
          <w:szCs w:val="28"/>
          <w:lang w:val="en-US" w:eastAsia="zh-CN"/>
        </w:rPr>
        <w:t>7台</w:t>
      </w:r>
      <w:r>
        <w:rPr>
          <w:rFonts w:hint="eastAsia" w:ascii="仿宋" w:hAnsi="仿宋" w:eastAsia="仿宋"/>
          <w:sz w:val="28"/>
          <w:szCs w:val="28"/>
          <w:lang w:eastAsia="zh-CN"/>
        </w:rPr>
        <w:t>）</w:t>
      </w:r>
      <w:r>
        <w:rPr>
          <w:rFonts w:hint="eastAsia" w:ascii="仿宋" w:hAnsi="仿宋" w:eastAsia="仿宋"/>
          <w:sz w:val="28"/>
          <w:szCs w:val="28"/>
        </w:rPr>
        <w:t>维保时间从20</w:t>
      </w:r>
      <w:r>
        <w:rPr>
          <w:rFonts w:hint="eastAsia" w:ascii="仿宋" w:hAnsi="仿宋" w:eastAsia="仿宋"/>
          <w:sz w:val="28"/>
          <w:szCs w:val="28"/>
          <w:lang w:val="en-US" w:eastAsia="zh-CN"/>
        </w:rPr>
        <w:t>23</w:t>
      </w:r>
      <w:r>
        <w:rPr>
          <w:rFonts w:hint="eastAsia" w:ascii="仿宋" w:hAnsi="仿宋" w:eastAsia="仿宋"/>
          <w:sz w:val="28"/>
          <w:szCs w:val="28"/>
        </w:rPr>
        <w:t xml:space="preserve"> 年 6月 21 日起至202</w:t>
      </w:r>
      <w:r>
        <w:rPr>
          <w:rFonts w:hint="eastAsia" w:ascii="仿宋" w:hAnsi="仿宋" w:eastAsia="仿宋"/>
          <w:sz w:val="28"/>
          <w:szCs w:val="28"/>
          <w:lang w:val="en-US" w:eastAsia="zh-CN"/>
        </w:rPr>
        <w:t>4</w:t>
      </w:r>
      <w:r>
        <w:rPr>
          <w:rFonts w:hint="eastAsia" w:ascii="仿宋" w:hAnsi="仿宋" w:eastAsia="仿宋"/>
          <w:sz w:val="28"/>
          <w:szCs w:val="28"/>
        </w:rPr>
        <w:t xml:space="preserve"> 年 </w:t>
      </w:r>
      <w:r>
        <w:rPr>
          <w:rFonts w:hint="eastAsia" w:ascii="仿宋" w:hAnsi="仿宋" w:eastAsia="仿宋"/>
          <w:sz w:val="28"/>
          <w:szCs w:val="28"/>
          <w:lang w:val="en-US" w:eastAsia="zh-CN"/>
        </w:rPr>
        <w:t>12</w:t>
      </w:r>
      <w:r>
        <w:rPr>
          <w:rFonts w:hint="eastAsia" w:ascii="仿宋" w:hAnsi="仿宋" w:eastAsia="仿宋"/>
          <w:sz w:val="28"/>
          <w:szCs w:val="28"/>
        </w:rPr>
        <w:t xml:space="preserve"> 月 </w:t>
      </w:r>
      <w:r>
        <w:rPr>
          <w:rFonts w:hint="eastAsia" w:ascii="仿宋" w:hAnsi="仿宋" w:eastAsia="仿宋"/>
          <w:sz w:val="28"/>
          <w:szCs w:val="28"/>
          <w:lang w:val="en-US" w:eastAsia="zh-CN"/>
        </w:rPr>
        <w:t>30</w:t>
      </w:r>
      <w:r>
        <w:rPr>
          <w:rFonts w:hint="eastAsia" w:ascii="仿宋" w:hAnsi="仿宋" w:eastAsia="仿宋"/>
          <w:sz w:val="28"/>
          <w:szCs w:val="28"/>
        </w:rPr>
        <w:t xml:space="preserve"> 日止，共  </w:t>
      </w:r>
      <w:r>
        <w:rPr>
          <w:rFonts w:hint="eastAsia" w:ascii="仿宋" w:hAnsi="仿宋" w:eastAsia="仿宋"/>
          <w:sz w:val="28"/>
          <w:szCs w:val="28"/>
          <w:lang w:val="en-US" w:eastAsia="zh-CN"/>
        </w:rPr>
        <w:t>18</w:t>
      </w:r>
      <w:r>
        <w:rPr>
          <w:rFonts w:hint="eastAsia" w:ascii="仿宋" w:hAnsi="仿宋" w:eastAsia="仿宋"/>
          <w:sz w:val="28"/>
          <w:szCs w:val="28"/>
        </w:rPr>
        <w:t>个月</w:t>
      </w:r>
      <w:r>
        <w:rPr>
          <w:rFonts w:hint="eastAsia" w:ascii="仿宋" w:hAnsi="仿宋" w:eastAsia="仿宋"/>
          <w:sz w:val="28"/>
          <w:szCs w:val="28"/>
          <w:lang w:eastAsia="zh-CN"/>
        </w:rPr>
        <w:t>。上海三菱电梯（</w:t>
      </w:r>
      <w:r>
        <w:rPr>
          <w:rFonts w:hint="eastAsia" w:ascii="仿宋" w:hAnsi="仿宋" w:eastAsia="仿宋"/>
          <w:sz w:val="28"/>
          <w:szCs w:val="28"/>
          <w:lang w:val="en-US" w:eastAsia="zh-CN"/>
        </w:rPr>
        <w:t>1台</w:t>
      </w:r>
      <w:r>
        <w:rPr>
          <w:rFonts w:hint="eastAsia" w:ascii="仿宋" w:hAnsi="仿宋" w:eastAsia="仿宋"/>
          <w:sz w:val="28"/>
          <w:szCs w:val="28"/>
          <w:lang w:eastAsia="zh-CN"/>
        </w:rPr>
        <w:t>）从</w:t>
      </w:r>
      <w:r>
        <w:rPr>
          <w:rFonts w:hint="eastAsia" w:ascii="仿宋" w:hAnsi="仿宋" w:eastAsia="仿宋"/>
          <w:sz w:val="28"/>
          <w:szCs w:val="28"/>
          <w:lang w:val="en-US" w:eastAsia="zh-CN"/>
        </w:rPr>
        <w:t>2024年5月21日起至2024年12月30日止，共7个月</w:t>
      </w:r>
      <w:r>
        <w:rPr>
          <w:rFonts w:hint="eastAsia" w:ascii="仿宋" w:hAnsi="仿宋" w:eastAsia="仿宋"/>
          <w:sz w:val="28"/>
          <w:szCs w:val="28"/>
        </w:rPr>
        <w:t>。</w:t>
      </w:r>
    </w:p>
    <w:p>
      <w:pPr>
        <w:adjustRightInd w:val="0"/>
        <w:snapToGrid w:val="0"/>
        <w:spacing w:line="500" w:lineRule="exact"/>
        <w:jc w:val="left"/>
        <w:rPr>
          <w:rFonts w:hint="eastAsia" w:ascii="方正黑体_GBK" w:hAnsi="仿宋" w:eastAsia="方正黑体_GBK"/>
          <w:sz w:val="28"/>
          <w:szCs w:val="28"/>
        </w:rPr>
      </w:pPr>
      <w:r>
        <w:rPr>
          <w:rFonts w:hint="eastAsia" w:ascii="方正黑体_GBK" w:hAnsi="仿宋" w:eastAsia="方正黑体_GBK"/>
          <w:sz w:val="28"/>
          <w:szCs w:val="28"/>
        </w:rPr>
        <w:t>（二）电梯品牌/规格清单：</w:t>
      </w:r>
    </w:p>
    <w:tbl>
      <w:tblPr>
        <w:tblStyle w:val="4"/>
        <w:tblpPr w:leftFromText="180" w:rightFromText="180" w:vertAnchor="text" w:horzAnchor="page" w:tblpX="915" w:tblpY="537"/>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91"/>
        <w:gridCol w:w="2809"/>
        <w:gridCol w:w="1474"/>
        <w:gridCol w:w="12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1271"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电梯品牌</w:t>
            </w:r>
          </w:p>
        </w:tc>
        <w:tc>
          <w:tcPr>
            <w:tcW w:w="1791"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产品型号</w:t>
            </w:r>
          </w:p>
        </w:tc>
        <w:tc>
          <w:tcPr>
            <w:tcW w:w="2809"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重要参数</w:t>
            </w:r>
          </w:p>
        </w:tc>
        <w:tc>
          <w:tcPr>
            <w:tcW w:w="1474"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层/站/门</w:t>
            </w:r>
          </w:p>
        </w:tc>
        <w:tc>
          <w:tcPr>
            <w:tcW w:w="1200" w:type="dxa"/>
            <w:tcBorders>
              <w:right w:val="single" w:color="auto" w:sz="2" w:space="0"/>
            </w:tcBorders>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 数</w:t>
            </w:r>
          </w:p>
        </w:tc>
        <w:tc>
          <w:tcPr>
            <w:tcW w:w="1185" w:type="dxa"/>
            <w:tcBorders>
              <w:left w:val="single" w:color="auto" w:sz="2" w:space="0"/>
            </w:tcBorders>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P16-60</w:t>
            </w:r>
          </w:p>
        </w:tc>
        <w:tc>
          <w:tcPr>
            <w:tcW w:w="2809"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载重1.25t、1.0m/s</w:t>
            </w:r>
          </w:p>
        </w:tc>
        <w:tc>
          <w:tcPr>
            <w:tcW w:w="1474"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20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8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P16-60</w:t>
            </w:r>
          </w:p>
        </w:tc>
        <w:tc>
          <w:tcPr>
            <w:tcW w:w="2809"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载重1.25t、1.0m/s</w:t>
            </w:r>
          </w:p>
        </w:tc>
        <w:tc>
          <w:tcPr>
            <w:tcW w:w="1474"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20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8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THJS2000/0.5</w:t>
            </w:r>
          </w:p>
        </w:tc>
        <w:tc>
          <w:tcPr>
            <w:tcW w:w="2809"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载重2 t、0.5m/s</w:t>
            </w:r>
          </w:p>
        </w:tc>
        <w:tc>
          <w:tcPr>
            <w:tcW w:w="1474"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20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85" w:type="dxa"/>
            <w:tcBorders>
              <w:left w:val="single" w:color="auto" w:sz="2" w:space="0"/>
            </w:tcBorders>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上海三菱</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LEHY-IIIB</w:t>
            </w:r>
          </w:p>
        </w:tc>
        <w:tc>
          <w:tcPr>
            <w:tcW w:w="2809"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载重1.8t、1.75m/s</w:t>
            </w:r>
          </w:p>
        </w:tc>
        <w:tc>
          <w:tcPr>
            <w:tcW w:w="1474"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20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8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p>
        </w:tc>
      </w:tr>
    </w:tbl>
    <w:p>
      <w:pPr>
        <w:spacing w:line="600" w:lineRule="exact"/>
        <w:ind w:firstLine="560" w:firstLineChars="200"/>
        <w:rPr>
          <w:rFonts w:hint="eastAsia" w:ascii="方正仿宋_GBK" w:hAnsi="宋体" w:eastAsia="方正仿宋_GBK"/>
          <w:b/>
          <w:sz w:val="28"/>
          <w:szCs w:val="28"/>
        </w:rPr>
      </w:pPr>
    </w:p>
    <w:p>
      <w:pPr>
        <w:spacing w:line="600" w:lineRule="exact"/>
        <w:ind w:firstLine="560" w:firstLineChars="200"/>
        <w:rPr>
          <w:rFonts w:hint="eastAsia" w:ascii="方正仿宋_GBK" w:hAnsi="宋体" w:eastAsia="方正仿宋_GBK"/>
          <w:b/>
          <w:sz w:val="28"/>
          <w:szCs w:val="28"/>
        </w:rPr>
      </w:pPr>
    </w:p>
    <w:p/>
    <w:p>
      <w:pPr>
        <w:adjustRightInd w:val="0"/>
        <w:snapToGrid w:val="0"/>
        <w:spacing w:line="500" w:lineRule="exact"/>
        <w:jc w:val="left"/>
        <w:rPr>
          <w:rFonts w:hint="eastAsia" w:ascii="方正黑体_GBK" w:hAnsi="仿宋" w:eastAsia="方正黑体_GBK"/>
          <w:sz w:val="28"/>
          <w:szCs w:val="28"/>
        </w:rPr>
      </w:pPr>
      <w:bookmarkStart w:id="0" w:name="_Toc48568340"/>
      <w:bookmarkStart w:id="1" w:name="_Toc16910"/>
      <w:bookmarkStart w:id="2" w:name="_Toc32615"/>
      <w:bookmarkStart w:id="3" w:name="_Toc27052"/>
      <w:bookmarkStart w:id="4" w:name="_Toc23389"/>
      <w:bookmarkStart w:id="5" w:name="_Toc51167580"/>
      <w:bookmarkStart w:id="6" w:name="_Toc7261"/>
      <w:r>
        <w:rPr>
          <w:rFonts w:hint="eastAsia" w:ascii="方正黑体_GBK" w:hAnsi="仿宋" w:eastAsia="方正黑体_GBK"/>
          <w:sz w:val="28"/>
          <w:szCs w:val="28"/>
        </w:rPr>
        <w:t>二、</w:t>
      </w:r>
      <w:bookmarkEnd w:id="0"/>
      <w:bookmarkEnd w:id="1"/>
      <w:bookmarkEnd w:id="2"/>
      <w:bookmarkEnd w:id="3"/>
      <w:bookmarkStart w:id="7" w:name="_Hlk51167155"/>
      <w:r>
        <w:rPr>
          <w:rFonts w:hint="eastAsia" w:ascii="方正黑体_GBK" w:hAnsi="仿宋" w:eastAsia="方正黑体_GBK"/>
          <w:sz w:val="28"/>
          <w:szCs w:val="28"/>
        </w:rPr>
        <w:t>服务内容和要求</w:t>
      </w:r>
      <w:bookmarkEnd w:id="4"/>
      <w:bookmarkEnd w:id="5"/>
      <w:bookmarkEnd w:id="6"/>
      <w:bookmarkEnd w:id="7"/>
    </w:p>
    <w:p>
      <w:pPr>
        <w:spacing w:line="600" w:lineRule="exact"/>
        <w:ind w:firstLine="420" w:firstLineChars="200"/>
        <w:rPr>
          <w:rFonts w:hint="eastAsia" w:ascii="仿宋" w:hAnsi="仿宋" w:eastAsia="仿宋"/>
          <w:sz w:val="28"/>
          <w:szCs w:val="28"/>
        </w:rPr>
      </w:pPr>
      <w:r>
        <w:rPr>
          <w:rFonts w:hint="eastAsia"/>
        </w:rPr>
        <w:t>（</w:t>
      </w:r>
      <w:r>
        <w:rPr>
          <w:rFonts w:hint="eastAsia" w:ascii="仿宋" w:hAnsi="仿宋" w:eastAsia="仿宋"/>
          <w:sz w:val="28"/>
          <w:szCs w:val="28"/>
        </w:rPr>
        <w:t>一）维保服务内容和要求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、按照《电梯使用管理与维护保养规则》（TSG T5002-2017)《电梯维修规范》（GB/T18775）、</w:t>
      </w:r>
      <w:r>
        <w:rPr>
          <w:rFonts w:hint="eastAsia" w:ascii="仿宋" w:hAnsi="仿宋" w:eastAsia="仿宋"/>
          <w:sz w:val="28"/>
          <w:szCs w:val="28"/>
          <w:lang w:val="en-US" w:eastAsia="zh-CN"/>
        </w:rPr>
        <w:t>《电梯制造与安装安全规范》 （GB7588）等规定对电梯进行维保。</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按照有关安全技术规范以及电梯产品安装使用维护说明书的要求，制定维保方案，确保其维保电梯的安全性能。建立每一台电梯的资料，如功能配置、标准数据、安装调试数据、相关的维护项目等，为每一台电梯建立原始的、权威的、可靠的档案。可查询、获取所需资料。</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、对电梯发生的故障等情况，及时进行详细的记录。</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、按照《电梯使用管理与维护保养规则》（TSG T5002-2017)完成半月、月度、季度、半年、年度保养项目，每月维保次数不低于2次，建立每部电梯的维保记录，并且归入电梯技术档案（半月、季度、半年、全年维保内容和要求详见附件1）。</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、协助采购人完善电梯的安全管理制定、应急救援预案和参与应急演练。</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每年度至少进行1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eastAsia="zh-CN"/>
        </w:rPr>
        <w:t>中标服务商每年须自行承担本项目电梯安全年检手续办理和电梯安全责任险购买。</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、在维保过程中，发现事故隐患及时告知电梯甲方；发现严重事故隐患，及时向当地质量技术监督部门报告。</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现场维保时，如果发现电梯存在的问题需要通过增加维保项目（内容）予以解决的，应当相应增加并且及时调整维保计划与方案。如果通过维保或者自行检查，现场电梯仅依靠合同规定的维保内容已经不能保证安全运行，需要改造、维修或者更换零部件、更新电梯时，应当向甲方书面提出。</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、拟派驻质量检验（查）维保人员均应</w:t>
      </w:r>
      <w:bookmarkStart w:id="8" w:name="_Hlk51238444"/>
      <w:bookmarkStart w:id="9" w:name="_Hlk51239973"/>
      <w:r>
        <w:rPr>
          <w:rFonts w:hint="eastAsia" w:ascii="仿宋" w:hAnsi="仿宋" w:eastAsia="仿宋"/>
          <w:sz w:val="28"/>
          <w:szCs w:val="28"/>
        </w:rPr>
        <w:t>有效的质量技术监督部门颁发的特种设备作业人员资格</w:t>
      </w:r>
      <w:bookmarkEnd w:id="8"/>
      <w:r>
        <w:rPr>
          <w:rFonts w:hint="eastAsia" w:ascii="仿宋" w:hAnsi="仿宋" w:eastAsia="仿宋"/>
          <w:sz w:val="28"/>
          <w:szCs w:val="28"/>
        </w:rPr>
        <w:t>（电梯作业/T）</w:t>
      </w:r>
      <w:bookmarkEnd w:id="9"/>
      <w:r>
        <w:rPr>
          <w:rFonts w:hint="eastAsia" w:ascii="仿宋" w:hAnsi="仿宋" w:eastAsia="仿宋"/>
          <w:sz w:val="28"/>
          <w:szCs w:val="28"/>
        </w:rPr>
        <w:t>上岗（成交供应商须提供相关人员清单及有效证件，服务期内人员变更须提前告知采购人且须采购人书面签字同意。若未经同意成交供应商擅自更换人员，视为违约），应当对电梯的维保质量进行不定期检查，并且进行记录。</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维保时应对电梯进行清洁、润滑、调整和检查等日常维护或保养性工作。其中清洁、润滑不包括部件的解体，调整只限于不会改变任何安全性能参数的调整。每次维保时要保持机房整洁，做好电梯机房清洁卫生。</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响应文件中须提供拟派驻质量检验（查）维保人员清单（清单内容至少包含拟派驻质量检验（查）维保人员姓名、性别、身份证号、加盖竞标人公章的有效的特种设备作业人员资格证书复印件），及以上人员近6个月社保缴纳证明材料。</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（二）维保方式</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半包：维保中更换零部件价格在300元以内的，由成交供应商免费提供并更换。免费提供的零部件清单见下表：</w:t>
      </w:r>
    </w:p>
    <w:tbl>
      <w:tblPr>
        <w:tblStyle w:val="4"/>
        <w:tblW w:w="53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841"/>
        <w:gridCol w:w="1475"/>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4"/>
            <w:vAlign w:val="center"/>
          </w:tcPr>
          <w:p>
            <w:pPr>
              <w:spacing w:line="600" w:lineRule="exact"/>
              <w:ind w:firstLine="560" w:firstLineChars="2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300元以下免费更换材料清单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名称</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1556" w:type="pct"/>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控制柜内保险管</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23</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检修上下按钮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厅门滑块</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24</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微动开关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油毡</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25</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电源锁钥匙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轿厢导靴靴衬</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26</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对重导靴靴衬</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27</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油杯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三角钥匙</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28</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厅门静触点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厅门副触点</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29</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拨动开关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安全触板开关</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30</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门机开关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润滑油(不包含主机油)</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31</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接触器辅助触点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10</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厅门配重绳</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32</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保险管底座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厅门动触点</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33</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主接线端子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急停开关</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34</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插接头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13</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厅门触点防护罩</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35</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接线端排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14</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电源板防护罩</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36</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插接件插针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15</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机械超载开关</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37</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DC48V继电器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16</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应急照明灯泡</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38</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DC110V继电器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17</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轿门滑块</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39</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照明空开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18</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数码管</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40</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36V灯泡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19</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蜂鸣器</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41</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警铃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井道照明转换开关</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42</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安全触板电缆线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21</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锁芯</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43</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直驶按钮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22</w:t>
            </w:r>
          </w:p>
        </w:tc>
        <w:tc>
          <w:tcPr>
            <w:tcW w:w="155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接油盒</w:t>
            </w:r>
          </w:p>
        </w:tc>
        <w:tc>
          <w:tcPr>
            <w:tcW w:w="808"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44</w:t>
            </w:r>
          </w:p>
        </w:tc>
        <w:tc>
          <w:tcPr>
            <w:tcW w:w="1886" w:type="pct"/>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检修转换开关</w:t>
            </w:r>
          </w:p>
        </w:tc>
      </w:tr>
    </w:tbl>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注：此表（可补充），响应文件须提供符合国家标准的合格产品的品牌、单价等</w:t>
      </w:r>
    </w:p>
    <w:p>
      <w:pPr>
        <w:spacing w:line="600" w:lineRule="exact"/>
        <w:ind w:firstLine="560" w:firstLineChars="200"/>
        <w:rPr>
          <w:rFonts w:hint="eastAsia" w:ascii="仿宋" w:hAnsi="仿宋" w:eastAsia="仿宋"/>
          <w:sz w:val="28"/>
          <w:szCs w:val="28"/>
          <w:lang w:val="en-US" w:eastAsia="zh-CN"/>
        </w:rPr>
      </w:pPr>
      <w:bookmarkStart w:id="10" w:name="_Hlk51163101"/>
      <w:r>
        <w:rPr>
          <w:rFonts w:hint="eastAsia" w:ascii="仿宋" w:hAnsi="仿宋" w:eastAsia="仿宋"/>
          <w:sz w:val="28"/>
          <w:szCs w:val="28"/>
          <w:lang w:val="en-US" w:eastAsia="zh-CN"/>
        </w:rPr>
        <w:t>（三）维保责任</w:t>
      </w:r>
    </w:p>
    <w:bookmarkEnd w:id="10"/>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1、成交供应商的维护保养工作不符合约定的维护保养标准或要求的，成交供应商应当返工，并按照合同总额的5%支付违约金，并承担相关责任。</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2、因维护保养原因导致设备、零部件损坏的，由成交供应商承担全部责任。</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3、因维护保养原因导致电梯检验检测不合格的，成交供应商还应当承担电梯复验费用。</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4、合同终止或者解除时，成交供应商不得进行影响电梯正常使用的技术加密。</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5、安全责任：在维修保养过程中发生的一切安全事故均由成交供应商全权负责（包括经济、司法等）。</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6、须提供全年365天24小时的应急响应服务，并确保通讯畅通。</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①提供驻点服务的项目的维保人员，在接到故障或事故报警后30分钟内到达现场，超出时间引起的事故或损失应承担相应的责任，并能提供正常连续的服务直至故障或事故排除；</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②对电梯困人事故要求在到达现场后30分钟内把乘客从轿厢中救出；</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③对故障电梯进行诊断，并于故障后4小时内明确诊断电梯故障原因；</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④电梯出现故障损坏，一般故障在2小时内回复，重大故障8小时内恢复（曳引机、钢丝绳损坏除外），注：维保单位必须根据该品牌电梯配备电梯备件（电梯除钢丝绳和曳引机除外），当电梯出现部件损坏维保单位必须先行更换恢复电梯的正常运行后，在对损坏部件进行维修，费用双方另行协商确定；</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⑤配合政府部门对服务期内的设备实施并通过年检，如因维保维保质量原因未能通过定期检测或年检的，发生的复检费用由成交供应商负责；</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提供所维保电梯合理的部件库存。</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8、如因不可抗力或自然灾害等其他责任原因造成电梯故障或损坏，成交供应商有责任负责及时将其修复或更换，使电梯先行恢复安全、正常运行，费用双方另行协商确定。</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9、将日常维保与维保工作中更换配件清单报备采购人。</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10、服务期内须成交供应商身的物品保管、施工安全、消防安全、环境卫生等均由成交供应商自行负责，如因管理不善造成的损失由成交供应商全部承担，服务期内须遵守采购人相关部门（安管处、基建后勤处单位）的相关规定。</w:t>
      </w:r>
    </w:p>
    <w:p>
      <w:pPr>
        <w:pStyle w:val="2"/>
        <w:rPr>
          <w:rFonts w:hint="eastAsia" w:ascii="仿宋" w:hAnsi="仿宋" w:eastAsia="仿宋"/>
          <w:sz w:val="28"/>
          <w:szCs w:val="28"/>
          <w:lang w:val="en-US" w:eastAsia="zh-CN"/>
        </w:rPr>
      </w:pPr>
    </w:p>
    <w:p>
      <w:pPr>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rPr>
          <w:rFonts w:hint="eastAsia"/>
          <w:lang w:val="en-US" w:eastAsia="zh-CN"/>
        </w:rPr>
      </w:pPr>
    </w:p>
    <w:p>
      <w:pPr>
        <w:spacing w:line="600" w:lineRule="exact"/>
        <w:ind w:firstLine="560" w:firstLineChars="200"/>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三：</w:t>
      </w:r>
      <w:bookmarkStart w:id="11" w:name="_Hlk51163978"/>
      <w:r>
        <w:rPr>
          <w:rFonts w:hint="eastAsia" w:ascii="方正仿宋_GBK" w:eastAsia="方正仿宋_GBK"/>
          <w:color w:val="000000"/>
          <w:sz w:val="28"/>
          <w:szCs w:val="28"/>
          <w:lang w:val="en-US" w:eastAsia="zh-CN"/>
        </w:rPr>
        <w:t>半月、季度、半年、全年维保内容和要求</w:t>
      </w:r>
      <w:bookmarkEnd w:id="11"/>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1、半月维保项目（内容）和要求</w:t>
      </w:r>
    </w:p>
    <w:tbl>
      <w:tblPr>
        <w:tblStyle w:val="4"/>
        <w:tblpPr w:leftFromText="180" w:rightFromText="180" w:vertAnchor="text" w:horzAnchor="page" w:tblpX="1360" w:tblpY="8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0"/>
        <w:gridCol w:w="3590"/>
        <w:gridCol w:w="5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3590"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维保项目（内容）</w:t>
            </w:r>
          </w:p>
        </w:tc>
        <w:tc>
          <w:tcPr>
            <w:tcW w:w="5865" w:type="dxa"/>
            <w:vAlign w:val="center"/>
          </w:tcPr>
          <w:p>
            <w:pPr>
              <w:spacing w:line="600" w:lineRule="exact"/>
              <w:ind w:firstLine="56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机房、滑轮间环境</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手动紧急操作装置</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曳引机</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制动器各销轴部位</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制动器间隙</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编码器</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限速器各销轴部位</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轿顶</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轿顶检修开关、急停开关</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10</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导靴上油杯</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11</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对重块及其压板</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12</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井道照明</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13</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轿厢照明、风扇、应急照明</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轿厢检修开关、急停开关</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15</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轿内报警装置、对讲系统</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16</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轿内显示、指令按钮</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17</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轿门安全装置（安全触板，光幕、光电等）</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18</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轿门门锁电气触点</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轿门运行</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8"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轿厢平层精度</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21</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层站召唤、层楼显示</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4"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22</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层门地坎</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23</w:t>
            </w:r>
          </w:p>
        </w:tc>
        <w:tc>
          <w:tcPr>
            <w:tcW w:w="359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层门自动关门装置</w:t>
            </w:r>
          </w:p>
        </w:tc>
        <w:tc>
          <w:tcPr>
            <w:tcW w:w="5865" w:type="dxa"/>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24</w:t>
            </w:r>
          </w:p>
        </w:tc>
        <w:tc>
          <w:tcPr>
            <w:tcW w:w="3590" w:type="dxa"/>
            <w:tcBorders>
              <w:top w:val="single" w:color="auto" w:sz="6" w:space="0"/>
              <w:left w:val="single" w:color="auto" w:sz="6" w:space="0"/>
              <w:bottom w:val="single" w:color="auto" w:sz="6" w:space="0"/>
              <w:right w:val="single" w:color="auto" w:sz="6" w:space="0"/>
            </w:tcBorders>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层门门锁自动复位</w:t>
            </w:r>
          </w:p>
        </w:tc>
        <w:tc>
          <w:tcPr>
            <w:tcW w:w="586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25</w:t>
            </w:r>
          </w:p>
        </w:tc>
        <w:tc>
          <w:tcPr>
            <w:tcW w:w="3590" w:type="dxa"/>
            <w:tcBorders>
              <w:top w:val="single" w:color="auto" w:sz="6" w:space="0"/>
              <w:left w:val="single" w:color="auto" w:sz="6" w:space="0"/>
              <w:bottom w:val="single" w:color="auto" w:sz="6" w:space="0"/>
              <w:right w:val="single" w:color="auto" w:sz="6" w:space="0"/>
            </w:tcBorders>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层门门锁电气触点</w:t>
            </w:r>
          </w:p>
        </w:tc>
        <w:tc>
          <w:tcPr>
            <w:tcW w:w="586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26</w:t>
            </w:r>
          </w:p>
        </w:tc>
        <w:tc>
          <w:tcPr>
            <w:tcW w:w="3590" w:type="dxa"/>
            <w:tcBorders>
              <w:top w:val="single" w:color="auto" w:sz="6" w:space="0"/>
              <w:left w:val="single" w:color="auto" w:sz="6" w:space="0"/>
              <w:bottom w:val="single" w:color="auto" w:sz="6" w:space="0"/>
              <w:right w:val="single" w:color="auto" w:sz="6" w:space="0"/>
            </w:tcBorders>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层门锁紧元件啮合长度</w:t>
            </w:r>
          </w:p>
        </w:tc>
        <w:tc>
          <w:tcPr>
            <w:tcW w:w="586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tcBorders>
              <w:top w:val="single" w:color="auto" w:sz="6" w:space="0"/>
              <w:left w:val="single" w:color="auto" w:sz="12" w:space="0"/>
              <w:bottom w:val="single" w:color="auto" w:sz="6" w:space="0"/>
              <w:right w:val="single" w:color="auto" w:sz="6" w:space="0"/>
            </w:tcBorders>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27</w:t>
            </w:r>
          </w:p>
        </w:tc>
        <w:tc>
          <w:tcPr>
            <w:tcW w:w="3590" w:type="dxa"/>
            <w:tcBorders>
              <w:top w:val="single" w:color="auto" w:sz="6" w:space="0"/>
              <w:left w:val="single" w:color="auto" w:sz="6" w:space="0"/>
              <w:bottom w:val="single" w:color="auto" w:sz="6" w:space="0"/>
              <w:right w:val="single" w:color="auto" w:sz="6" w:space="0"/>
            </w:tcBorders>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底坑环境</w:t>
            </w:r>
          </w:p>
        </w:tc>
        <w:tc>
          <w:tcPr>
            <w:tcW w:w="586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0" w:type="dxa"/>
            <w:tcBorders>
              <w:top w:val="single" w:color="auto" w:sz="6" w:space="0"/>
              <w:left w:val="single" w:color="auto" w:sz="12" w:space="0"/>
              <w:bottom w:val="single" w:color="auto" w:sz="12" w:space="0"/>
              <w:right w:val="single" w:color="auto" w:sz="6" w:space="0"/>
            </w:tcBorders>
            <w:vAlign w:val="center"/>
          </w:tcPr>
          <w:p>
            <w:pPr>
              <w:spacing w:line="6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28</w:t>
            </w:r>
          </w:p>
        </w:tc>
        <w:tc>
          <w:tcPr>
            <w:tcW w:w="3590" w:type="dxa"/>
            <w:tcBorders>
              <w:top w:val="single" w:color="auto" w:sz="6" w:space="0"/>
              <w:left w:val="single" w:color="auto" w:sz="6" w:space="0"/>
              <w:bottom w:val="single" w:color="auto" w:sz="12" w:space="0"/>
              <w:right w:val="single" w:color="auto" w:sz="6" w:space="0"/>
            </w:tcBorders>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底坑急停开关</w:t>
            </w:r>
          </w:p>
        </w:tc>
        <w:tc>
          <w:tcPr>
            <w:tcW w:w="5865" w:type="dxa"/>
            <w:tcBorders>
              <w:top w:val="single" w:color="auto" w:sz="6" w:space="0"/>
              <w:left w:val="single" w:color="auto" w:sz="6" w:space="0"/>
              <w:bottom w:val="single" w:color="auto" w:sz="12" w:space="0"/>
              <w:right w:val="single" w:color="auto" w:sz="12" w:space="0"/>
            </w:tcBorders>
            <w:vAlign w:val="center"/>
          </w:tcPr>
          <w:p>
            <w:pPr>
              <w:spacing w:line="600" w:lineRule="exact"/>
              <w:jc w:val="both"/>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bl>
    <w:p>
      <w:pPr>
        <w:spacing w:line="60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2、季度维保项目（内容）和要求</w:t>
      </w:r>
    </w:p>
    <w:p>
      <w:pPr>
        <w:spacing w:line="60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季度维保项目（内容）和要求除符合半月维保的项目（内容）和要求外，还应当符合表2的项目（内容）和要求。</w:t>
      </w:r>
    </w:p>
    <w:tbl>
      <w:tblPr>
        <w:tblStyle w:val="4"/>
        <w:tblpPr w:leftFromText="180" w:rightFromText="180" w:vertAnchor="text" w:horzAnchor="page" w:tblpX="1150" w:tblpY="702"/>
        <w:tblOverlap w:val="never"/>
        <w:tblW w:w="107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4593"/>
        <w:gridCol w:w="4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4593"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维保项目（内容）</w:t>
            </w:r>
          </w:p>
        </w:tc>
        <w:tc>
          <w:tcPr>
            <w:tcW w:w="4909" w:type="dxa"/>
            <w:vAlign w:val="center"/>
          </w:tcPr>
          <w:p>
            <w:pPr>
              <w:spacing w:line="600" w:lineRule="exact"/>
              <w:ind w:firstLine="560" w:firstLineChars="2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减速机润滑油</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制动衬</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位置脉冲发生器</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选层器动静触点</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曳引轮槽、曳引钢丝绳</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限速器轮槽、限速器钢丝绳</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靴衬、滚轮</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验证轿门关闭的电气安全装置</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层门、轿门系统中传动钢丝绳、链条、胶带</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10</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层门门导靴</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消防开关</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耗能缓冲器</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208"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13</w:t>
            </w:r>
          </w:p>
        </w:tc>
        <w:tc>
          <w:tcPr>
            <w:tcW w:w="459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限速器张紧轮装置和电气安全装置</w:t>
            </w:r>
          </w:p>
        </w:tc>
        <w:tc>
          <w:tcPr>
            <w:tcW w:w="4909"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bl>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3、半年维保项目（内容）和要求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半年维保项目（内容）和要求除符合季度维保的项目（内容）和要求外，还应当符合表3的项目（内容）和要求。</w:t>
      </w:r>
    </w:p>
    <w:tbl>
      <w:tblPr>
        <w:tblStyle w:val="4"/>
        <w:tblpPr w:leftFromText="180" w:rightFromText="180" w:vertAnchor="text" w:horzAnchor="page" w:tblpX="1150" w:tblpY="85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4303"/>
        <w:gridCol w:w="5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4303"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维保项目（内容）</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电动机与减速机联轴器螺栓</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曳引轮、导向轮轴承部</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曳引轮槽</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制动器上检测开关</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控制柜内各接线端子</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控制柜各仪表</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井道、对重、轿顶各反绳轮轴承部</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曳引绳、补偿绳</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曳引绳绳头组合</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10</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限速器钢丝绳</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11</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层门、轿门门扇</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12</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对重缓冲距</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13</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补偿链（绳）与轿厢、对重接合处</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07"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14</w:t>
            </w:r>
          </w:p>
        </w:tc>
        <w:tc>
          <w:tcPr>
            <w:tcW w:w="4303"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上下极限开关</w:t>
            </w:r>
          </w:p>
        </w:tc>
        <w:tc>
          <w:tcPr>
            <w:tcW w:w="5160"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bl>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4、年度维保项目（内容）和要求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年度维保项目（内容）和要求除符合半年维保的项目（内容）和要求外，还应当符合表4的项目（内容）和要求。</w:t>
      </w:r>
    </w:p>
    <w:tbl>
      <w:tblPr>
        <w:tblStyle w:val="4"/>
        <w:tblpPr w:leftFromText="180" w:rightFromText="180" w:vertAnchor="text" w:horzAnchor="page" w:tblpX="1330" w:tblpY="81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4134"/>
        <w:gridCol w:w="5265"/>
        <w:gridCol w:w="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4134" w:type="dxa"/>
            <w:vAlign w:val="center"/>
          </w:tcPr>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维保项目（内容）</w:t>
            </w:r>
          </w:p>
        </w:tc>
        <w:tc>
          <w:tcPr>
            <w:tcW w:w="5281" w:type="dxa"/>
            <w:gridSpan w:val="2"/>
            <w:vAlign w:val="center"/>
          </w:tcPr>
          <w:p>
            <w:pPr>
              <w:spacing w:line="60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减速机润滑油</w:t>
            </w:r>
          </w:p>
        </w:tc>
        <w:tc>
          <w:tcPr>
            <w:tcW w:w="5281" w:type="dxa"/>
            <w:gridSpan w:val="2"/>
            <w:vAlign w:val="center"/>
          </w:tcPr>
          <w:p>
            <w:pPr>
              <w:spacing w:line="6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控制柜接触器，继电器触点</w:t>
            </w:r>
          </w:p>
        </w:tc>
        <w:tc>
          <w:tcPr>
            <w:tcW w:w="5281" w:type="dxa"/>
            <w:gridSpan w:val="2"/>
            <w:vAlign w:val="center"/>
          </w:tcPr>
          <w:p>
            <w:pPr>
              <w:spacing w:line="6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制动器铁芯（柱塞）</w:t>
            </w:r>
          </w:p>
        </w:tc>
        <w:tc>
          <w:tcPr>
            <w:tcW w:w="5281" w:type="dxa"/>
            <w:gridSpan w:val="2"/>
            <w:vAlign w:val="center"/>
          </w:tcPr>
          <w:p>
            <w:pPr>
              <w:spacing w:line="6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制动器制动弹簧压缩量</w:t>
            </w:r>
          </w:p>
        </w:tc>
        <w:tc>
          <w:tcPr>
            <w:tcW w:w="5281" w:type="dxa"/>
            <w:gridSpan w:val="2"/>
            <w:vAlign w:val="center"/>
          </w:tcPr>
          <w:p>
            <w:pPr>
              <w:spacing w:line="6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导电回路绝缘性能测试</w:t>
            </w:r>
          </w:p>
        </w:tc>
        <w:tc>
          <w:tcPr>
            <w:tcW w:w="5281" w:type="dxa"/>
            <w:gridSpan w:val="2"/>
            <w:vAlign w:val="center"/>
          </w:tcPr>
          <w:p>
            <w:pPr>
              <w:spacing w:line="6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432"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限速器安全钳联动试验（每2年进行一次限速器动作速度校验）</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上行超速保护装置动作试验</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轿顶、轿厢架、轿门及其附件安装螺栓</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轿厢和对重的导轨支架</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10</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轿厢和对重的导轨</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11</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随行电缆</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12</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层门装置和地坎</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13</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轿厢称重装置</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14</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安全钳钳座</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15</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轿底各安装螺栓</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377" w:hRule="atLeast"/>
        </w:trPr>
        <w:tc>
          <w:tcPr>
            <w:tcW w:w="80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16</w:t>
            </w:r>
          </w:p>
        </w:tc>
        <w:tc>
          <w:tcPr>
            <w:tcW w:w="4134"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缓冲器</w:t>
            </w:r>
          </w:p>
        </w:tc>
        <w:tc>
          <w:tcPr>
            <w:tcW w:w="5265" w:type="dxa"/>
            <w:vAlign w:val="center"/>
          </w:tcPr>
          <w:p>
            <w:pPr>
              <w:spacing w:line="6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固定，无松动</w:t>
            </w:r>
          </w:p>
        </w:tc>
      </w:tr>
    </w:tbl>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注：</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（1）如果某些电梯没有表中的项目（内容）或者电梯不含有某种部件，项目（内容可适当进行调整；</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（2）维保项目（内容）和要求中对测试、试验有明确规定的，应当按照规定进行测试、试验，没有明确规定，一般为检查、调整、清洁和润滑；</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（3）维保基本要求规定为“符合标准”的，有国家标准应当符合国家标准，没有国家标准的应当符合行业标准、企业标准。</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（4）维保基本要求规定为“制造单位要求”的，按照制造单位的要求，其他没有明确的“要求”，应当为安全技术规范、标准或者制造单位等的要求。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（5）油料（机油(不含涡轮蜗杆油)、黄油）及部分易耗件（棉纱团、油毛毡　（YP、B、F）、滑块、主轨通用靴衬、打磨砂纸。）由成交供应商提供。</w:t>
      </w:r>
    </w:p>
    <w:p>
      <w:pPr>
        <w:pStyle w:val="2"/>
        <w:rPr>
          <w:rFonts w:hint="eastAsia"/>
          <w:lang w:val="en-US" w:eastAsia="zh-CN"/>
        </w:rPr>
      </w:pPr>
    </w:p>
    <w:p>
      <w:pPr>
        <w:spacing w:line="600" w:lineRule="exact"/>
        <w:ind w:firstLine="560" w:firstLineChars="2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项目商务要求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一、实施时间</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服务期：18个月（2023年6月21日起至2024年12月30日止）</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实施地点：重庆城市管理职业学院</w:t>
      </w:r>
    </w:p>
    <w:p>
      <w:pPr>
        <w:widowControl/>
        <w:shd w:val="clear" w:color="auto" w:fill="FFFFFF"/>
        <w:spacing w:line="440" w:lineRule="exact"/>
        <w:ind w:firstLine="478" w:firstLineChars="171"/>
        <w:jc w:val="left"/>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w:t>
      </w:r>
      <w:r>
        <w:rPr>
          <w:rFonts w:hint="eastAsia" w:ascii="仿宋" w:hAnsi="仿宋" w:eastAsia="仿宋" w:cs="宋体"/>
          <w:kern w:val="0"/>
          <w:sz w:val="28"/>
          <w:szCs w:val="28"/>
        </w:rPr>
        <w:t>成交原则</w:t>
      </w:r>
    </w:p>
    <w:p>
      <w:pPr>
        <w:widowControl/>
        <w:shd w:val="clear" w:color="auto" w:fill="FFFFFF"/>
        <w:spacing w:line="44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 xml:space="preserve">在符合本次采购要求、质量和服务的前提下，按报价最低的原则确定成交服务商。如出现两个以上相同最低报价的，则以服务响应时间短的服务商为中标服务商 。 </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三、验收方式</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根据服务内容和标准进行验收，要求必须确保学校电梯设备正常运行，保障学校教育教学需求。</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四、报价要求</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本次报价须为人民币报价，投标报价包括完成本项目所需的服务、材料配件、交通、安全、安装、人工、税费等所有费用。因成交供应商自身原因造成漏报、少报皆由其自行承担责任，采购人不再补偿。</w:t>
      </w:r>
    </w:p>
    <w:p>
      <w:pPr>
        <w:spacing w:line="600" w:lineRule="exact"/>
        <w:ind w:firstLine="560" w:firstLineChars="200"/>
        <w:rPr>
          <w:rFonts w:hint="eastAsia" w:ascii="仿宋" w:hAnsi="仿宋" w:eastAsia="仿宋"/>
          <w:sz w:val="28"/>
          <w:szCs w:val="28"/>
          <w:lang w:val="en-US" w:eastAsia="zh-CN"/>
        </w:rPr>
      </w:pP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五、质量保证及售后服务</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电梯维修维护完成后，服务商提供三个月质保，若同一故障，由服务商负责返修及一切费用，采购方不再承担任何费用。</w:t>
      </w:r>
    </w:p>
    <w:p>
      <w:pPr>
        <w:pStyle w:val="2"/>
        <w:rPr>
          <w:rFonts w:hint="eastAsia" w:ascii="仿宋" w:hAnsi="仿宋" w:eastAsia="仿宋"/>
          <w:sz w:val="44"/>
          <w:szCs w:val="44"/>
          <w:lang w:val="en-US" w:eastAsia="zh-CN"/>
        </w:rPr>
      </w:pPr>
      <w:r>
        <w:rPr>
          <w:rFonts w:hint="eastAsia" w:ascii="仿宋" w:hAnsi="仿宋" w:eastAsia="仿宋"/>
          <w:sz w:val="44"/>
          <w:szCs w:val="44"/>
          <w:lang w:val="en-US" w:eastAsia="zh-CN"/>
        </w:rPr>
        <w:t>附件2</w:t>
      </w:r>
      <w:bookmarkStart w:id="12" w:name="_GoBack"/>
      <w:bookmarkEnd w:id="12"/>
    </w:p>
    <w:p>
      <w:pPr>
        <w:rPr>
          <w:rFonts w:hint="eastAsia" w:ascii="方正仿宋_GB18030" w:hAnsi="方正仿宋_GB18030" w:eastAsia="方正仿宋_GB18030" w:cs="方正仿宋_GB18030"/>
          <w:lang w:val="en-US" w:eastAsia="zh-CN"/>
        </w:rPr>
      </w:pPr>
      <w:r>
        <w:rPr>
          <w:rFonts w:hint="eastAsia" w:ascii="方正仿宋_GB18030" w:hAnsi="方正仿宋_GB18030" w:eastAsia="方正仿宋_GB18030" w:cs="方正仿宋_GB18030"/>
          <w:color w:val="000000"/>
          <w:sz w:val="36"/>
          <w:szCs w:val="36"/>
          <w:lang w:val="en-US" w:eastAsia="zh-CN"/>
        </w:rPr>
        <w:t>2023-2024年电梯维保服务</w:t>
      </w:r>
      <w:r>
        <w:rPr>
          <w:rFonts w:hint="eastAsia" w:ascii="方正仿宋_GB18030" w:hAnsi="方正仿宋_GB18030" w:eastAsia="方正仿宋_GB18030" w:cs="方正仿宋_GB18030"/>
          <w:sz w:val="36"/>
          <w:szCs w:val="36"/>
        </w:rPr>
        <w:t>项目</w:t>
      </w:r>
      <w:r>
        <w:rPr>
          <w:rFonts w:hint="eastAsia" w:ascii="方正仿宋_GB18030" w:hAnsi="方正仿宋_GB18030" w:eastAsia="方正仿宋_GB18030" w:cs="方正仿宋_GB18030"/>
          <w:sz w:val="36"/>
          <w:szCs w:val="36"/>
          <w:lang w:eastAsia="zh-CN"/>
        </w:rPr>
        <w:t>限价表</w:t>
      </w:r>
    </w:p>
    <w:tbl>
      <w:tblPr>
        <w:tblStyle w:val="4"/>
        <w:tblpPr w:leftFromText="180" w:rightFromText="180" w:vertAnchor="text" w:horzAnchor="page" w:tblpX="915" w:tblpY="537"/>
        <w:tblOverlap w:val="never"/>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91"/>
        <w:gridCol w:w="2468"/>
        <w:gridCol w:w="1155"/>
        <w:gridCol w:w="750"/>
        <w:gridCol w:w="136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1271"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电梯品牌</w:t>
            </w:r>
          </w:p>
        </w:tc>
        <w:tc>
          <w:tcPr>
            <w:tcW w:w="1791"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产品型号</w:t>
            </w:r>
          </w:p>
        </w:tc>
        <w:tc>
          <w:tcPr>
            <w:tcW w:w="2468"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重要参数</w:t>
            </w:r>
          </w:p>
        </w:tc>
        <w:tc>
          <w:tcPr>
            <w:tcW w:w="1155" w:type="dxa"/>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层/站/门</w:t>
            </w:r>
          </w:p>
        </w:tc>
        <w:tc>
          <w:tcPr>
            <w:tcW w:w="750" w:type="dxa"/>
            <w:tcBorders>
              <w:right w:val="single" w:color="auto" w:sz="2" w:space="0"/>
            </w:tcBorders>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 数</w:t>
            </w:r>
          </w:p>
        </w:tc>
        <w:tc>
          <w:tcPr>
            <w:tcW w:w="1365" w:type="dxa"/>
            <w:tcBorders>
              <w:right w:val="single" w:color="auto" w:sz="2" w:space="0"/>
            </w:tcBorders>
            <w:noWrap w:val="0"/>
            <w:vAlign w:val="center"/>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服务期</w:t>
            </w:r>
          </w:p>
        </w:tc>
        <w:tc>
          <w:tcPr>
            <w:tcW w:w="1695" w:type="dxa"/>
            <w:tcBorders>
              <w:left w:val="single" w:color="auto" w:sz="2" w:space="0"/>
            </w:tcBorders>
            <w:noWrap w:val="0"/>
            <w:vAlign w:val="center"/>
          </w:tcPr>
          <w:p>
            <w:pPr>
              <w:spacing w:line="600" w:lineRule="exact"/>
              <w:jc w:val="center"/>
              <w:rPr>
                <w:rFonts w:hint="eastAsia"/>
                <w:lang w:val="en-US" w:eastAsia="zh-CN"/>
              </w:rPr>
            </w:pPr>
            <w:r>
              <w:rPr>
                <w:rFonts w:hint="eastAsia"/>
                <w:lang w:val="en-US" w:eastAsia="zh-CN"/>
              </w:rPr>
              <w:t>限价（元/台/月）</w:t>
            </w:r>
            <w:r>
              <w:rPr>
                <w:rFonts w:hint="eastAsia"/>
                <w:lang w:val="en-US" w:eastAsia="zh-CN"/>
              </w:rPr>
              <w:br w:type="textWrapping"/>
            </w:r>
          </w:p>
          <w:p>
            <w:pPr>
              <w:spacing w:line="600" w:lineRule="exact"/>
              <w:jc w:val="center"/>
              <w:rPr>
                <w:rFonts w:hint="eastAsia"/>
                <w:lang w:val="en-US" w:eastAsia="zh-CN"/>
              </w:rPr>
            </w:pPr>
            <w:r>
              <w:rPr>
                <w:rFonts w:hint="eastAsia"/>
                <w:lang w:val="en-US" w:eastAsia="zh-CN"/>
              </w:rPr>
              <w:br w:type="textWrapping"/>
            </w: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P16-60</w:t>
            </w:r>
          </w:p>
        </w:tc>
        <w:tc>
          <w:tcPr>
            <w:tcW w:w="2468"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载重1.25t、1.0m/s</w:t>
            </w:r>
          </w:p>
        </w:tc>
        <w:tc>
          <w:tcPr>
            <w:tcW w:w="1155"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75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65" w:type="dxa"/>
            <w:tcBorders>
              <w:right w:val="single" w:color="auto" w:sz="2" w:space="0"/>
            </w:tcBorders>
            <w:noWrap w:val="0"/>
            <w:vAlign w:val="top"/>
          </w:tcPr>
          <w:p>
            <w:pPr>
              <w:spacing w:line="600" w:lineRule="exact"/>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18个月</w:t>
            </w:r>
          </w:p>
        </w:tc>
        <w:tc>
          <w:tcPr>
            <w:tcW w:w="169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P16-60</w:t>
            </w:r>
          </w:p>
        </w:tc>
        <w:tc>
          <w:tcPr>
            <w:tcW w:w="2468"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载重1.25t、1.0m/s</w:t>
            </w:r>
          </w:p>
        </w:tc>
        <w:tc>
          <w:tcPr>
            <w:tcW w:w="1155"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75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65"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18个月</w:t>
            </w:r>
          </w:p>
        </w:tc>
        <w:tc>
          <w:tcPr>
            <w:tcW w:w="169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苏州铃木</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THJS2000/0.5</w:t>
            </w:r>
          </w:p>
        </w:tc>
        <w:tc>
          <w:tcPr>
            <w:tcW w:w="2468"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载重2 t、0.5m/s</w:t>
            </w:r>
          </w:p>
        </w:tc>
        <w:tc>
          <w:tcPr>
            <w:tcW w:w="1155"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5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5"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18个月</w:t>
            </w:r>
          </w:p>
        </w:tc>
        <w:tc>
          <w:tcPr>
            <w:tcW w:w="169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7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上海三菱</w:t>
            </w:r>
          </w:p>
        </w:tc>
        <w:tc>
          <w:tcPr>
            <w:tcW w:w="1791" w:type="dxa"/>
            <w:noWrap w:val="0"/>
            <w:vAlign w:val="top"/>
          </w:tcPr>
          <w:p>
            <w:pPr>
              <w:spacing w:line="6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LEHY-IIIB</w:t>
            </w:r>
          </w:p>
        </w:tc>
        <w:tc>
          <w:tcPr>
            <w:tcW w:w="2468"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载重1.8t、1.75m/s</w:t>
            </w:r>
          </w:p>
        </w:tc>
        <w:tc>
          <w:tcPr>
            <w:tcW w:w="1155" w:type="dxa"/>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750" w:type="dxa"/>
            <w:tcBorders>
              <w:righ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5" w:type="dxa"/>
            <w:tcBorders>
              <w:right w:val="single" w:color="auto" w:sz="2" w:space="0"/>
            </w:tcBorders>
            <w:noWrap w:val="0"/>
            <w:vAlign w:val="top"/>
          </w:tcPr>
          <w:p>
            <w:pPr>
              <w:spacing w:line="600" w:lineRule="exact"/>
              <w:ind w:firstLine="420" w:firstLineChars="2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7个月</w:t>
            </w:r>
          </w:p>
        </w:tc>
        <w:tc>
          <w:tcPr>
            <w:tcW w:w="1695" w:type="dxa"/>
            <w:tcBorders>
              <w:left w:val="single" w:color="auto" w:sz="2" w:space="0"/>
            </w:tcBorders>
            <w:noWrap w:val="0"/>
            <w:vAlign w:val="top"/>
          </w:tcPr>
          <w:p>
            <w:pPr>
              <w:spacing w:line="600" w:lineRule="exact"/>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366.5</w:t>
            </w:r>
          </w:p>
        </w:tc>
      </w:tr>
    </w:tbl>
    <w:p>
      <w:pPr>
        <w:spacing w:line="600" w:lineRule="exact"/>
        <w:ind w:firstLine="560" w:firstLineChars="200"/>
        <w:rPr>
          <w:rFonts w:hint="eastAsia" w:ascii="方正仿宋_GBK" w:hAnsi="宋体" w:eastAsia="方正仿宋_GBK"/>
          <w:b/>
          <w:sz w:val="28"/>
          <w:szCs w:val="28"/>
        </w:rPr>
      </w:pPr>
    </w:p>
    <w:p>
      <w:pPr>
        <w:pStyle w:val="2"/>
        <w:rPr>
          <w:rFonts w:hint="eastAsia"/>
          <w:lang w:val="en-US" w:eastAsia="zh-CN"/>
        </w:rPr>
      </w:pPr>
    </w:p>
    <w:p>
      <w:pPr>
        <w:widowControl/>
        <w:shd w:val="clear" w:color="auto" w:fill="FFFFFF"/>
        <w:adjustRightInd w:val="0"/>
        <w:snapToGrid w:val="0"/>
        <w:spacing w:line="500" w:lineRule="exact"/>
        <w:rPr>
          <w:rFonts w:hint="eastAsia" w:ascii="仿宋" w:hAnsi="仿宋" w:eastAsia="仿宋"/>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548F94-BC5B-4E20-AFCA-1CDD01606734}"/>
  </w:font>
  <w:font w:name="方正仿宋_GBK">
    <w:altName w:val="Arial Unicode MS"/>
    <w:panose1 w:val="03000509000000000000"/>
    <w:charset w:val="86"/>
    <w:family w:val="script"/>
    <w:pitch w:val="default"/>
    <w:sig w:usb0="00000000" w:usb1="00000000" w:usb2="00000010" w:usb3="00000000" w:csb0="00040000" w:csb1="00000000"/>
    <w:embedRegular r:id="rId2" w:fontKey="{00D2A09C-855E-4D08-A069-722DB5C9F70F}"/>
  </w:font>
  <w:font w:name="方正小标宋_GBK">
    <w:panose1 w:val="02000000000000000000"/>
    <w:charset w:val="86"/>
    <w:family w:val="script"/>
    <w:pitch w:val="default"/>
    <w:sig w:usb0="A00002BF" w:usb1="38CF7CFA" w:usb2="00082016" w:usb3="00000000" w:csb0="00040001" w:csb1="00000000"/>
    <w:embedRegular r:id="rId3" w:fontKey="{5C8C3EA3-31CE-4D27-A9F1-F762ED7D4FB6}"/>
  </w:font>
  <w:font w:name="方正黑体_GBK">
    <w:altName w:val="Arial Unicode MS"/>
    <w:panose1 w:val="03000509000000000000"/>
    <w:charset w:val="86"/>
    <w:family w:val="script"/>
    <w:pitch w:val="default"/>
    <w:sig w:usb0="00000000" w:usb1="00000000" w:usb2="00000010" w:usb3="00000000" w:csb0="00040000" w:csb1="00000000"/>
    <w:embedRegular r:id="rId4" w:fontKey="{80FDC9AB-521C-4CBE-949F-7DA45B4FEEA0}"/>
  </w:font>
  <w:font w:name="仿宋">
    <w:panose1 w:val="02010609060101010101"/>
    <w:charset w:val="86"/>
    <w:family w:val="modern"/>
    <w:pitch w:val="default"/>
    <w:sig w:usb0="800002BF" w:usb1="38CF7CFA" w:usb2="00000016" w:usb3="00000000" w:csb0="00040001" w:csb1="00000000"/>
    <w:embedRegular r:id="rId5" w:fontKey="{7F0208D7-69DB-4A66-A52C-3BE66D9A93C0}"/>
  </w:font>
  <w:font w:name="方正仿宋_GB18030">
    <w:panose1 w:val="02000000000000000000"/>
    <w:charset w:val="86"/>
    <w:family w:val="auto"/>
    <w:pitch w:val="default"/>
    <w:sig w:usb0="00000001" w:usb1="08000000" w:usb2="00000000" w:usb3="00000000" w:csb0="00040000" w:csb1="00000000"/>
    <w:embedRegular r:id="rId6" w:fontKey="{8056464F-349E-4836-A0F0-5D98DBD1738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QwNjRkMDgzZGRkYTRmODdmZWRiYjg2OWZlYTAifQ=="/>
  </w:docVars>
  <w:rsids>
    <w:rsidRoot w:val="68205B4D"/>
    <w:rsid w:val="05D830A9"/>
    <w:rsid w:val="110E5BD1"/>
    <w:rsid w:val="116577BB"/>
    <w:rsid w:val="18434F3A"/>
    <w:rsid w:val="1EA04672"/>
    <w:rsid w:val="238F279F"/>
    <w:rsid w:val="258204E4"/>
    <w:rsid w:val="57D32355"/>
    <w:rsid w:val="61F730E4"/>
    <w:rsid w:val="63215156"/>
    <w:rsid w:val="6820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4859</Words>
  <Characters>5196</Characters>
  <Lines>0</Lines>
  <Paragraphs>0</Paragraphs>
  <TotalTime>0</TotalTime>
  <ScaleCrop>false</ScaleCrop>
  <LinksUpToDate>false</LinksUpToDate>
  <CharactersWithSpaces>5223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2023-06-05T06:43:00Z</dcterms:created>
  <dc:creator>地主</dc:creator>
  <cp:lastModifiedBy>地主</cp:lastModifiedBy>
  <dcterms:modified xsi:type="dcterms:W3CDTF">2023-06-06T00:13:00Z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CDCCDBB3A59740F889969AE4DFB1DB02_13</vt:lpwstr>
  </property>
</Properties>
</file>