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pStyle w:val="11"/>
        <w:shd w:val="clear" w:color="auto" w:fill="FFFFFF"/>
        <w:spacing w:before="0" w:beforeAutospacing="0" w:after="0" w:afterAutospacing="0" w:line="605" w:lineRule="atLeast"/>
        <w:jc w:val="center"/>
        <w:rPr>
          <w:color w:val="333333"/>
          <w:sz w:val="36"/>
          <w:szCs w:val="36"/>
        </w:rPr>
      </w:pPr>
      <w:r>
        <w:rPr>
          <w:rFonts w:hint="eastAsia" w:ascii="方正小标宋_GBK" w:eastAsia="方正小标宋_GBK"/>
          <w:color w:val="333333"/>
          <w:sz w:val="36"/>
          <w:szCs w:val="36"/>
        </w:rPr>
        <w:t>重庆城市管理职业学院</w:t>
      </w:r>
    </w:p>
    <w:p>
      <w:pPr>
        <w:pStyle w:val="11"/>
        <w:shd w:val="clear" w:color="auto" w:fill="FFFFFF"/>
        <w:spacing w:before="0" w:beforeAutospacing="0" w:after="0" w:afterAutospacing="0" w:line="605" w:lineRule="atLeast"/>
        <w:jc w:val="center"/>
        <w:rPr>
          <w:color w:val="333333"/>
          <w:sz w:val="36"/>
          <w:szCs w:val="36"/>
        </w:rPr>
      </w:pPr>
      <w:r>
        <w:rPr>
          <w:rFonts w:hint="eastAsia" w:ascii="方正小标宋_GBK" w:eastAsia="方正小标宋_GBK"/>
          <w:color w:val="333333"/>
          <w:sz w:val="36"/>
          <w:szCs w:val="36"/>
        </w:rPr>
        <w:t>致远园学生公寓加装逃生窗等采购安装分散采购公告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</w:t>
      </w:r>
      <w:r>
        <w:rPr>
          <w:rFonts w:hint="eastAsia" w:ascii="方正仿宋_GBK" w:hAnsi="宋体" w:eastAsia="方正仿宋_GBK" w:cs="Times New Roman"/>
          <w:sz w:val="32"/>
          <w:szCs w:val="32"/>
          <w:lang w:eastAsia="zh-CN"/>
        </w:rPr>
        <w:t>实际需要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致远园学生公寓加装逃生窗等采购安装，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致远园学生公寓加装逃生窗规格型号及安装</w:t>
      </w:r>
      <w:r>
        <w:rPr>
          <w:rFonts w:hint="eastAsia" w:ascii="方正仿宋_GBK" w:hAnsi="宋体" w:eastAsia="方正仿宋_GBK" w:cs="Times New Roman"/>
          <w:sz w:val="32"/>
          <w:szCs w:val="32"/>
        </w:rPr>
        <w:t>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hint="eastAsia" w:ascii="方正仿宋_GBK" w:hAnsi="宋体" w:eastAsia="方正仿宋_GBK" w:cs="Times New Roman"/>
          <w:sz w:val="32"/>
          <w:szCs w:val="32"/>
          <w:lang w:eastAsia="zh-CN"/>
        </w:rPr>
        <w:t>具体规格型号见后附图</w:t>
      </w:r>
      <w:r>
        <w:rPr>
          <w:rFonts w:ascii="方正仿宋_GBK" w:hAnsi="宋体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Times New Roman"/>
          <w:sz w:val="32"/>
          <w:szCs w:val="32"/>
          <w:lang w:eastAsia="zh-CN"/>
        </w:rPr>
      </w:pPr>
      <w:r>
        <w:rPr>
          <w:rFonts w:ascii="方正仿宋_GBK" w:hAnsi="宋体" w:eastAsia="方正仿宋_GBK" w:cs="Times New Roman"/>
          <w:sz w:val="32"/>
          <w:szCs w:val="32"/>
        </w:rPr>
        <w:t>2.</w:t>
      </w:r>
      <w:r>
        <w:rPr>
          <w:rFonts w:hint="eastAsia" w:ascii="方正仿宋_GBK" w:hAnsi="宋体" w:eastAsia="方正仿宋_GBK" w:cs="Times New Roman"/>
          <w:sz w:val="32"/>
          <w:szCs w:val="32"/>
          <w:lang w:eastAsia="zh-CN"/>
        </w:rPr>
        <w:t>安装要求符合国家相关规范。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验收要求：根据行业规范和附件二进行现场验收，具体为：服务商完成安装后应立即向采购人申请验收。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支付验收合格后，服务商提供正规发票申请付款，采购人在收到相关票据后7个工作日完成支付（遇节假日及寒、暑假顺延）。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诚信声明（声明中特别强调围网在采购、运输、安装全过程的安全责任均由服务商全权承担，学校不承担任何经济和法律责任）。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5重庆城市管理职业学院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致远园学生公寓加装逃生窗等采购安装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在完全满足“附件二”的条件下，竞价最低者中标。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四、完工时间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020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月5日下午17：30以前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附件二致远园学生公寓加装逃生窗等采购安装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报价表</w:t>
      </w:r>
    </w:p>
    <w:tbl>
      <w:tblPr>
        <w:tblStyle w:val="6"/>
        <w:tblpPr w:leftFromText="180" w:rightFromText="180" w:vertAnchor="text" w:horzAnchor="page" w:tblpX="505" w:tblpY="615"/>
        <w:tblOverlap w:val="never"/>
        <w:tblW w:w="14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83"/>
        <w:gridCol w:w="7362"/>
        <w:gridCol w:w="1800"/>
        <w:gridCol w:w="16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工程名称</w:t>
            </w:r>
          </w:p>
        </w:tc>
        <w:tc>
          <w:tcPr>
            <w:tcW w:w="7362" w:type="dxa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项目特征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工程量</w:t>
            </w: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防盗窗安装</w:t>
            </w:r>
          </w:p>
        </w:tc>
        <w:tc>
          <w:tcPr>
            <w:tcW w:w="736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[项目特征]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1.窗代号及洞口尺寸:1200*1450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2.框、扇材质:铝合金骨架25*50*2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3.铝合金防护网:孔径不大于70*70mm，丝径不小于4.6mm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4.5mm厚钢化浮化玻璃: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5.此全费用综合单价包括:人工费、材料费、施工机具使用费、设备费、措施费、管理费、利润、风险费、安全文明施工费、规费、税金等所有费用: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[工作内容]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1.窗安装2.五金安装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m2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163.56</w:t>
            </w: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281.77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6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逃生锤</w:t>
            </w:r>
          </w:p>
        </w:tc>
        <w:tc>
          <w:tcPr>
            <w:tcW w:w="736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[项目特征]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1.此全费用综合单价包括:人工费、材料费、施工机具使用费、设备费、措施费、管理费、利润、风险费、安全文明施工费、规费、税金等所有费用: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[工作内容]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1.固定座安装2.钢绳3.逃生锤固定安装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套</w:t>
            </w: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ind w:firstLine="720" w:firstLineChars="400"/>
              <w:jc w:val="left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挂锁安装</w:t>
            </w:r>
          </w:p>
        </w:tc>
        <w:tc>
          <w:tcPr>
            <w:tcW w:w="736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[项目特征]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1.锁品种:挂锁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2.此全费用综合单价包括:人工费、材料费、施工机具使用费、设备费、措施费、管理费、利润、风险费、安全文明施工费、规费、税金等所有费用: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</w:rPr>
              <w:t>[工作内容]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1.安装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ind w:firstLine="720" w:firstLineChars="400"/>
              <w:jc w:val="left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个</w:t>
            </w:r>
          </w:p>
        </w:tc>
        <w:tc>
          <w:tcPr>
            <w:tcW w:w="1650" w:type="dxa"/>
          </w:tcPr>
          <w:p>
            <w:pPr>
              <w:tabs>
                <w:tab w:val="left" w:pos="2310"/>
              </w:tabs>
              <w:adjustRightInd w:val="0"/>
              <w:snapToGrid w:val="0"/>
              <w:spacing w:line="360" w:lineRule="auto"/>
              <w:ind w:right="4778" w:rightChars="2275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2310"/>
              </w:tabs>
              <w:adjustRightInd w:val="0"/>
              <w:snapToGrid w:val="0"/>
              <w:spacing w:line="360" w:lineRule="auto"/>
              <w:ind w:right="4778" w:rightChars="2275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2310"/>
              </w:tabs>
              <w:adjustRightInd w:val="0"/>
              <w:snapToGrid w:val="0"/>
              <w:spacing w:line="360" w:lineRule="auto"/>
              <w:ind w:right="4778" w:rightChars="2275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2310"/>
              </w:tabs>
              <w:adjustRightInd w:val="0"/>
              <w:snapToGrid w:val="0"/>
              <w:spacing w:line="360" w:lineRule="auto"/>
              <w:ind w:right="4778" w:rightChars="2275" w:firstLine="720" w:firstLineChars="40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18"/>
                <w:szCs w:val="18"/>
                <w:vertAlign w:val="baseline"/>
              </w:rPr>
            </w:pPr>
          </w:p>
          <w:p>
            <w:pPr>
              <w:adjustRightInd w:val="0"/>
              <w:snapToGrid w:val="0"/>
              <w:spacing w:line="360" w:lineRule="auto"/>
              <w:ind w:firstLine="720" w:firstLineChars="400"/>
              <w:jc w:val="left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27.86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uto"/>
        <w:ind w:left="-199" w:leftChars="-95" w:firstLine="198" w:firstLineChars="62"/>
        <w:jc w:val="left"/>
        <w:rPr>
          <w:rFonts w:hint="default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eastAsia="zh-CN"/>
        </w:rPr>
        <w:t>附件三</w:t>
      </w: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致远园学生公寓加装逃生窗附图</w:t>
      </w:r>
    </w:p>
    <w:p>
      <w:pPr>
        <w:adjustRightInd w:val="0"/>
        <w:snapToGrid w:val="0"/>
        <w:spacing w:line="240" w:lineRule="auto"/>
        <w:ind w:firstLine="640" w:firstLineChars="200"/>
        <w:jc w:val="left"/>
        <w:rPr>
          <w:rFonts w:hint="eastAsia" w:ascii="方正仿宋_GBK" w:hAnsi="宋体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宋体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7818120" cy="5240020"/>
            <wp:effectExtent l="0" t="0" r="11430" b="17780"/>
            <wp:docPr id="1" name="图片 1" descr="336H@MM$A%O6_[IV$9]9W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6H@MM$A%O6_[IV$9]9W5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524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6838" w:h="11906" w:orient="landscape"/>
      <w:pgMar w:top="1293" w:right="1738" w:bottom="1128" w:left="10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110676"/>
    <w:rsid w:val="00165066"/>
    <w:rsid w:val="00175381"/>
    <w:rsid w:val="00187446"/>
    <w:rsid w:val="001A4231"/>
    <w:rsid w:val="001C7FA2"/>
    <w:rsid w:val="00284BCA"/>
    <w:rsid w:val="00284FFC"/>
    <w:rsid w:val="0028512B"/>
    <w:rsid w:val="003221ED"/>
    <w:rsid w:val="003711E5"/>
    <w:rsid w:val="004E785D"/>
    <w:rsid w:val="004F17B3"/>
    <w:rsid w:val="00514671"/>
    <w:rsid w:val="005E79E3"/>
    <w:rsid w:val="006965A8"/>
    <w:rsid w:val="006C178D"/>
    <w:rsid w:val="007508B1"/>
    <w:rsid w:val="00872DCE"/>
    <w:rsid w:val="008C0485"/>
    <w:rsid w:val="008F7617"/>
    <w:rsid w:val="00931D14"/>
    <w:rsid w:val="00935AC9"/>
    <w:rsid w:val="00966F2C"/>
    <w:rsid w:val="009C773B"/>
    <w:rsid w:val="00A820DB"/>
    <w:rsid w:val="00AB663F"/>
    <w:rsid w:val="00AF528E"/>
    <w:rsid w:val="00B06EE6"/>
    <w:rsid w:val="00B60945"/>
    <w:rsid w:val="00B6571F"/>
    <w:rsid w:val="00BA32A0"/>
    <w:rsid w:val="00BD4879"/>
    <w:rsid w:val="00BD4EEB"/>
    <w:rsid w:val="00C71E33"/>
    <w:rsid w:val="00C90041"/>
    <w:rsid w:val="00C97C42"/>
    <w:rsid w:val="00E06467"/>
    <w:rsid w:val="00E42148"/>
    <w:rsid w:val="00E77FB2"/>
    <w:rsid w:val="00E94176"/>
    <w:rsid w:val="00EB7492"/>
    <w:rsid w:val="00F258CD"/>
    <w:rsid w:val="00FD7957"/>
    <w:rsid w:val="00FE79C0"/>
    <w:rsid w:val="03FB173E"/>
    <w:rsid w:val="0B584236"/>
    <w:rsid w:val="0BEE412B"/>
    <w:rsid w:val="15C234D1"/>
    <w:rsid w:val="1D861D67"/>
    <w:rsid w:val="1DE956AE"/>
    <w:rsid w:val="2D9F3D4A"/>
    <w:rsid w:val="32673172"/>
    <w:rsid w:val="358B14CE"/>
    <w:rsid w:val="3AA32F23"/>
    <w:rsid w:val="3FCF10CB"/>
    <w:rsid w:val="41456D16"/>
    <w:rsid w:val="44461683"/>
    <w:rsid w:val="4D122509"/>
    <w:rsid w:val="4D496242"/>
    <w:rsid w:val="58D364E8"/>
    <w:rsid w:val="58FE36BA"/>
    <w:rsid w:val="598A1079"/>
    <w:rsid w:val="5DB2253C"/>
    <w:rsid w:val="649A3163"/>
    <w:rsid w:val="673B272A"/>
    <w:rsid w:val="68CC7412"/>
    <w:rsid w:val="6ABF05D9"/>
    <w:rsid w:val="6F6D7FEB"/>
    <w:rsid w:val="701E2F7A"/>
    <w:rsid w:val="73C201CB"/>
    <w:rsid w:val="78DF378F"/>
    <w:rsid w:val="7DC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51CF4-E124-49B8-A0A8-4EB60655B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</Words>
  <Characters>1273</Characters>
  <Lines>10</Lines>
  <Paragraphs>2</Paragraphs>
  <TotalTime>10</TotalTime>
  <ScaleCrop>false</ScaleCrop>
  <LinksUpToDate>false</LinksUpToDate>
  <CharactersWithSpaces>1494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2020-06-12T07:59:18Z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