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滑板运动场地工程清单、预算编制分散采购需求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，拟对学校滑板运动场地工程清单、预算编制单位实施招标确定，欢迎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二、滑板运动场地工程情况及清单预算编制工作要求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工程规模：占地</w:t>
      </w:r>
      <w:r>
        <w:rPr>
          <w:rFonts w:hint="eastAsia" w:ascii="方正仿宋_GBK" w:hAnsi="宋体" w:eastAsia="方正仿宋_GBK" w:cs="Times New Roman"/>
          <w:sz w:val="32"/>
          <w:szCs w:val="32"/>
        </w:rPr>
        <w:t>5254平方米，</w:t>
      </w:r>
      <w:r>
        <w:rPr>
          <w:rFonts w:ascii="方正仿宋_GBK" w:hAnsi="宋体" w:eastAsia="方正仿宋_GBK" w:cs="Times New Roman"/>
          <w:sz w:val="32"/>
          <w:szCs w:val="32"/>
        </w:rPr>
        <w:t>工程造价约</w:t>
      </w:r>
      <w:r>
        <w:rPr>
          <w:rFonts w:hint="eastAsia" w:ascii="方正仿宋_GBK" w:hAnsi="宋体" w:eastAsia="方正仿宋_GBK" w:cs="Times New Roman"/>
          <w:sz w:val="32"/>
          <w:szCs w:val="32"/>
        </w:rPr>
        <w:t>800</w:t>
      </w:r>
      <w:r>
        <w:rPr>
          <w:rFonts w:ascii="方正仿宋_GBK" w:hAnsi="宋体" w:eastAsia="方正仿宋_GBK" w:cs="Times New Roman"/>
          <w:sz w:val="32"/>
          <w:szCs w:val="32"/>
        </w:rPr>
        <w:t>万元。</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2.工程主要内容：详见滑板运动场地施工图设计。</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工作要求：根据国家及行业规范实施清单编制并完成相关资料的交接。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.签订合同</w:t>
      </w:r>
      <w:r>
        <w:rPr>
          <w:rFonts w:hint="eastAsia" w:ascii="方正仿宋_GBK" w:hAnsi="Times New Roman" w:eastAsia="方正仿宋_GBK" w:cs="Times New Roman"/>
          <w:sz w:val="32"/>
          <w:szCs w:val="32"/>
        </w:rPr>
        <w:t>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4重庆城市管理职业学院滑板运动场地工程清单、预算编制分散采购报价表。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四、编制时间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签订合同后15天内完成并提交给校方。</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4181"/>
        <w:gridCol w:w="74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418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74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重庆城市管理职业学院滑板运动场地工程清单、预算编制</w:t>
            </w:r>
          </w:p>
        </w:tc>
        <w:tc>
          <w:tcPr>
            <w:tcW w:w="4181"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工程内容包括：</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详见所附施工图设计。</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4"/>
                <w:szCs w:val="24"/>
              </w:rPr>
              <w:t>清单编制总包干价：</w:t>
            </w:r>
            <w:r>
              <w:rPr>
                <w:rFonts w:hint="eastAsia" w:ascii="宋体" w:hAnsi="Times New Roman" w:eastAsia="宋体" w:cs="Times New Roman"/>
                <w:sz w:val="24"/>
                <w:szCs w:val="24"/>
              </w:rPr>
              <w:t>2万元</w:t>
            </w:r>
          </w:p>
        </w:tc>
        <w:tc>
          <w:tcPr>
            <w:tcW w:w="741"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清单编制时间为签订合同后</w:t>
            </w:r>
            <w:r>
              <w:rPr>
                <w:rFonts w:hint="eastAsia" w:ascii="宋体" w:hAnsi="Times New Roman" w:eastAsia="宋体" w:cs="Times New Roman"/>
                <w:sz w:val="28"/>
                <w:szCs w:val="28"/>
              </w:rPr>
              <w:t xml:space="preserve"> 15 日之内</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本次最高包干总价限价2万元。</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65066"/>
    <w:rsid w:val="00175381"/>
    <w:rsid w:val="00187446"/>
    <w:rsid w:val="001A4231"/>
    <w:rsid w:val="001C3936"/>
    <w:rsid w:val="001C7FA2"/>
    <w:rsid w:val="00284BCA"/>
    <w:rsid w:val="00284FFC"/>
    <w:rsid w:val="0028512B"/>
    <w:rsid w:val="002D50C2"/>
    <w:rsid w:val="002F0441"/>
    <w:rsid w:val="002F04FD"/>
    <w:rsid w:val="003221ED"/>
    <w:rsid w:val="003471E8"/>
    <w:rsid w:val="003711E5"/>
    <w:rsid w:val="004361D5"/>
    <w:rsid w:val="004838B7"/>
    <w:rsid w:val="004E51AA"/>
    <w:rsid w:val="004E785D"/>
    <w:rsid w:val="004F17B3"/>
    <w:rsid w:val="005131FC"/>
    <w:rsid w:val="00514671"/>
    <w:rsid w:val="0055074B"/>
    <w:rsid w:val="005E79E3"/>
    <w:rsid w:val="00651E85"/>
    <w:rsid w:val="006965A8"/>
    <w:rsid w:val="006B65D2"/>
    <w:rsid w:val="006C178D"/>
    <w:rsid w:val="0073460E"/>
    <w:rsid w:val="007508B1"/>
    <w:rsid w:val="0078113D"/>
    <w:rsid w:val="00787F35"/>
    <w:rsid w:val="00812927"/>
    <w:rsid w:val="00872DCE"/>
    <w:rsid w:val="008C0485"/>
    <w:rsid w:val="008F7617"/>
    <w:rsid w:val="009126D0"/>
    <w:rsid w:val="00931D14"/>
    <w:rsid w:val="00935AC9"/>
    <w:rsid w:val="00966F2C"/>
    <w:rsid w:val="009C773B"/>
    <w:rsid w:val="00A820DB"/>
    <w:rsid w:val="00A84E30"/>
    <w:rsid w:val="00AB663F"/>
    <w:rsid w:val="00AF528E"/>
    <w:rsid w:val="00B06EE6"/>
    <w:rsid w:val="00B60945"/>
    <w:rsid w:val="00B6571F"/>
    <w:rsid w:val="00BA32A0"/>
    <w:rsid w:val="00BD4879"/>
    <w:rsid w:val="00BD4EEB"/>
    <w:rsid w:val="00BE1C05"/>
    <w:rsid w:val="00C71E33"/>
    <w:rsid w:val="00C90041"/>
    <w:rsid w:val="00C97C42"/>
    <w:rsid w:val="00CE40A1"/>
    <w:rsid w:val="00D0270A"/>
    <w:rsid w:val="00D116F7"/>
    <w:rsid w:val="00E06467"/>
    <w:rsid w:val="00E2120E"/>
    <w:rsid w:val="00E42148"/>
    <w:rsid w:val="00E77FB2"/>
    <w:rsid w:val="00E94176"/>
    <w:rsid w:val="00EB7492"/>
    <w:rsid w:val="00EC2349"/>
    <w:rsid w:val="00F258CD"/>
    <w:rsid w:val="00F45EE7"/>
    <w:rsid w:val="00FD0144"/>
    <w:rsid w:val="00FD7957"/>
    <w:rsid w:val="00FE79C0"/>
    <w:rsid w:val="15C234D1"/>
    <w:rsid w:val="43114C4B"/>
    <w:rsid w:val="44423AD8"/>
    <w:rsid w:val="58D364E8"/>
    <w:rsid w:val="58FE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C247A-0DD0-45D1-8E0B-40CCA14589EE}">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Words>
  <Characters>1768</Characters>
  <Lines>14</Lines>
  <Paragraphs>4</Paragraphs>
  <TotalTime>1088</TotalTime>
  <ScaleCrop>false</ScaleCrop>
  <LinksUpToDate>false</LinksUpToDate>
  <CharactersWithSpaces>2074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2021-01-15T08:49:56Z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