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重庆城市管理职业学院校区扩建工程西侧临时围挡租赁分散采购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需求</w:t>
      </w:r>
    </w:p>
    <w:p>
      <w:pPr>
        <w:adjustRightInd w:val="0"/>
        <w:snapToGrid w:val="0"/>
        <w:spacing w:line="360" w:lineRule="auto"/>
        <w:jc w:val="left"/>
        <w:rPr>
          <w:rFonts w:ascii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重庆城市管理职业学院扩建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校区</w:t>
      </w:r>
      <w:r>
        <w:rPr>
          <w:rFonts w:hint="eastAsia" w:ascii="方正仿宋_GBK" w:hAnsi="宋体" w:eastAsia="方正仿宋_GBK"/>
          <w:sz w:val="32"/>
          <w:szCs w:val="32"/>
        </w:rPr>
        <w:t>西侧南侧正式围墙正在修建中，预计在2020年9月竣工。根据学校总体安排，部分学生从2020年5月4日开始陆续返校，根据重庆市教委和相关政府职能部门要求，在防疫控制期间，需对校园进行全封闭管理的规定，故需在西侧设置临时围挡，我们拟分散采购西侧临时围挡租赁，欢迎有实力有资质的企业或个体积极参与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</w:t>
      </w:r>
      <w:r>
        <w:rPr>
          <w:rFonts w:hint="eastAsia" w:ascii="方正黑体_GBK" w:eastAsia="方正黑体_GBK"/>
          <w:sz w:val="32"/>
          <w:szCs w:val="32"/>
          <w:lang w:eastAsia="zh-CN"/>
        </w:rPr>
        <w:t>扩建校区</w:t>
      </w:r>
      <w:r>
        <w:rPr>
          <w:rFonts w:hint="eastAsia" w:ascii="方正仿宋_GBK" w:hAnsi="宋体" w:eastAsia="方正仿宋_GBK"/>
          <w:sz w:val="32"/>
          <w:szCs w:val="32"/>
        </w:rPr>
        <w:t>西侧临时围挡租赁</w:t>
      </w:r>
      <w:r>
        <w:rPr>
          <w:rFonts w:hint="eastAsia" w:ascii="方正黑体_GBK" w:eastAsia="方正黑体_GBK"/>
          <w:sz w:val="32"/>
          <w:szCs w:val="32"/>
        </w:rPr>
        <w:t>分散采购要求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ascii="方正仿宋_GBK" w:eastAsia="方正仿宋_GBK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  <w:lang w:eastAsia="zh-CN"/>
        </w:rPr>
        <w:t>临时围挡含运输、安装、拆除及场地清理等。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ascii="方正仿宋_GBK" w:eastAsia="方正仿宋_GBK"/>
          <w:sz w:val="32"/>
          <w:szCs w:val="32"/>
        </w:rPr>
        <w:t>2.</w:t>
      </w:r>
      <w:r>
        <w:rPr>
          <w:rFonts w:hint="eastAsia" w:ascii="方正仿宋_GBK" w:eastAsia="方正仿宋_GBK"/>
          <w:sz w:val="32"/>
          <w:szCs w:val="32"/>
        </w:rPr>
        <w:t>验收要求：进行现场验收，服务商完成安装后应立即向采购人申请验收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</w:t>
      </w:r>
      <w:r>
        <w:rPr>
          <w:rFonts w:hint="eastAsia" w:ascii="方正仿宋_GBK" w:eastAsia="方正仿宋_GBK"/>
          <w:sz w:val="32"/>
          <w:szCs w:val="32"/>
        </w:rPr>
        <w:t>支付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验收合格后，服务商提供正规发票申请付款，采购人在收到相关票据后2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hint="eastAsia" w:ascii="方正仿宋_GBK" w:eastAsia="方正仿宋_GBK"/>
          <w:sz w:val="32"/>
          <w:szCs w:val="32"/>
        </w:rPr>
        <w:t>个工作日一次性完成支付（遇节假日及寒、暑假顺延）。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</w:t>
      </w:r>
      <w:r>
        <w:rPr>
          <w:rFonts w:hint="eastAsia" w:ascii="方正仿宋_GBK" w:eastAsia="方正仿宋_GBK"/>
          <w:sz w:val="32"/>
          <w:szCs w:val="32"/>
        </w:rPr>
        <w:t>请参与服务商根据“附件二”制作报价表并加盖鲜章或个体印章。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</w:t>
      </w:r>
      <w:r>
        <w:rPr>
          <w:rFonts w:hint="eastAsia" w:ascii="方正仿宋_GBK" w:eastAsia="方正仿宋_GBK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5.1</w:t>
      </w:r>
      <w:r>
        <w:rPr>
          <w:rFonts w:hint="eastAsia" w:ascii="方正仿宋_GBK" w:eastAsia="方正仿宋_GBK"/>
          <w:sz w:val="32"/>
          <w:szCs w:val="32"/>
        </w:rPr>
        <w:t>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5.2</w:t>
      </w:r>
      <w:r>
        <w:rPr>
          <w:rFonts w:hint="eastAsia" w:ascii="方正仿宋_GBK" w:eastAsia="方正仿宋_GBK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5.3</w:t>
      </w:r>
      <w:r>
        <w:rPr>
          <w:rFonts w:hint="eastAsia" w:ascii="方正仿宋_GBK" w:eastAsia="方正仿宋_GBK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5.4</w:t>
      </w:r>
      <w:r>
        <w:rPr>
          <w:rFonts w:hint="eastAsia" w:ascii="方正仿宋_GBK" w:eastAsia="方正仿宋_GBK"/>
          <w:sz w:val="32"/>
          <w:szCs w:val="32"/>
        </w:rPr>
        <w:t>诚信声明（</w:t>
      </w:r>
      <w:r>
        <w:rPr>
          <w:rFonts w:hint="eastAsia" w:ascii="方正仿宋_GBK" w:eastAsia="方正仿宋_GBK"/>
          <w:sz w:val="32"/>
          <w:szCs w:val="32"/>
          <w:highlight w:val="none"/>
        </w:rPr>
        <w:t>声明中特别强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临时围挡</w:t>
      </w:r>
      <w:r>
        <w:rPr>
          <w:rFonts w:hint="eastAsia" w:ascii="方正仿宋_GBK" w:eastAsia="方正仿宋_GBK"/>
          <w:sz w:val="32"/>
          <w:szCs w:val="32"/>
          <w:highlight w:val="none"/>
        </w:rPr>
        <w:t>在制作</w:t>
      </w:r>
      <w:r>
        <w:rPr>
          <w:rFonts w:hint="eastAsia" w:ascii="方正仿宋_GBK" w:eastAsia="方正仿宋_GBK"/>
          <w:sz w:val="32"/>
          <w:szCs w:val="32"/>
        </w:rPr>
        <w:t>、运输、安装全过程的安全责任均由服务商全权承担，学校不承担任何经济和法律责任）。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重庆城市管理职业学院</w:t>
      </w:r>
      <w:r>
        <w:rPr>
          <w:rFonts w:hint="eastAsia" w:ascii="方正黑体_GBK" w:eastAsia="方正黑体_GBK"/>
          <w:sz w:val="32"/>
          <w:szCs w:val="32"/>
          <w:lang w:eastAsia="zh-CN"/>
        </w:rPr>
        <w:t>扩建校区</w:t>
      </w:r>
      <w:r>
        <w:rPr>
          <w:rFonts w:hint="eastAsia" w:ascii="方正仿宋_GBK" w:hAnsi="宋体" w:eastAsia="方正仿宋_GBK"/>
          <w:sz w:val="32"/>
          <w:szCs w:val="32"/>
        </w:rPr>
        <w:t>西侧临时围挡租赁</w:t>
      </w:r>
      <w:r>
        <w:rPr>
          <w:rFonts w:hint="eastAsia" w:ascii="方正仿宋_GBK" w:eastAsia="方正仿宋_GBK"/>
          <w:sz w:val="32"/>
          <w:szCs w:val="32"/>
        </w:rPr>
        <w:t>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方正仿宋_GBK" w:eastAsia="方正仿宋_GBK"/>
          <w:sz w:val="32"/>
          <w:szCs w:val="32"/>
        </w:rPr>
        <w:t>在完全满足“附件二”的条件下，竞价最低者中标。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889"/>
        <w:gridCol w:w="2089"/>
        <w:gridCol w:w="2986"/>
        <w:gridCol w:w="666"/>
        <w:gridCol w:w="1443"/>
        <w:gridCol w:w="846"/>
        <w:gridCol w:w="926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652" w:type="dxa"/>
            <w:gridSpan w:val="9"/>
            <w:shd w:val="clear" w:color="auto" w:fill="auto"/>
            <w:noWrap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附件二：重庆城市管理职业学院</w:t>
            </w:r>
            <w:r>
              <w:rPr>
                <w:rFonts w:hint="eastAsia" w:ascii="方正黑体_GBK" w:eastAsia="方正黑体_GBK"/>
                <w:sz w:val="32"/>
                <w:szCs w:val="32"/>
                <w:lang w:eastAsia="zh-CN"/>
              </w:rPr>
              <w:t>扩建校区</w:t>
            </w:r>
            <w:r>
              <w:rPr>
                <w:rFonts w:hint="eastAsia" w:ascii="方正仿宋_GBK" w:hAnsi="宋体" w:eastAsia="方正仿宋_GBK"/>
                <w:sz w:val="32"/>
                <w:szCs w:val="32"/>
              </w:rPr>
              <w:t>西侧临时围挡租赁</w:t>
            </w:r>
            <w:r>
              <w:rPr>
                <w:rFonts w:hint="eastAsia" w:ascii="方正黑体_GBK" w:eastAsia="方正黑体_GBK"/>
                <w:sz w:val="32"/>
                <w:szCs w:val="32"/>
              </w:rPr>
              <w:t>分散采购限价表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序号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产品名称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规格型号</w:t>
            </w:r>
          </w:p>
        </w:tc>
        <w:tc>
          <w:tcPr>
            <w:tcW w:w="298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材质及工艺说明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单位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eastAsia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/>
                <w:szCs w:val="21"/>
                <w:lang w:eastAsia="zh-CN"/>
              </w:rPr>
              <w:t>数量</w:t>
            </w:r>
          </w:p>
        </w:tc>
        <w:tc>
          <w:tcPr>
            <w:tcW w:w="619" w:type="dxa"/>
            <w:shd w:val="clear" w:color="auto" w:fill="auto"/>
            <w:noWrap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eastAsia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/>
                <w:szCs w:val="21"/>
              </w:rPr>
              <w:t>单价</w:t>
            </w:r>
            <w:r>
              <w:rPr>
                <w:rFonts w:hint="eastAsia" w:ascii="方正黑体_GBK" w:eastAsia="方正黑体_GBK"/>
                <w:szCs w:val="21"/>
                <w:lang w:eastAsia="zh-CN"/>
              </w:rPr>
              <w:t>（元）</w:t>
            </w:r>
          </w:p>
        </w:tc>
        <w:tc>
          <w:tcPr>
            <w:tcW w:w="926" w:type="dxa"/>
            <w:shd w:val="clear" w:color="auto" w:fill="auto"/>
            <w:noWrap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小计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黑体_GBK" w:eastAsia="方正黑体_GBK"/>
                <w:szCs w:val="21"/>
                <w:lang w:eastAsia="zh-CN"/>
              </w:rPr>
            </w:pPr>
            <w:r>
              <w:rPr>
                <w:rFonts w:hint="eastAsia" w:ascii="方正黑体_GBK" w:eastAsia="方正黑体_GBK"/>
                <w:szCs w:val="21"/>
                <w:lang w:eastAsia="zh-CN"/>
              </w:rPr>
              <w:t>（元）</w:t>
            </w:r>
          </w:p>
        </w:tc>
        <w:tc>
          <w:tcPr>
            <w:tcW w:w="2339" w:type="dxa"/>
            <w:shd w:val="clear" w:color="auto" w:fill="auto"/>
            <w:noWrap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hint="eastAsia" w:ascii="方正黑体_GBK" w:eastAsia="方正黑体_GBK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188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临时围挡</w:t>
            </w:r>
          </w:p>
        </w:tc>
        <w:tc>
          <w:tcPr>
            <w:tcW w:w="208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高度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1.8m</w:t>
            </w: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彩钢板临时围挡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eastAsia="方正仿宋_GBK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m</w:t>
            </w: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400</w:t>
            </w:r>
          </w:p>
        </w:tc>
        <w:tc>
          <w:tcPr>
            <w:tcW w:w="61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1元/天·米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方正仿宋_GBK" w:eastAsia="方正仿宋_GBK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36000</w:t>
            </w:r>
          </w:p>
        </w:tc>
        <w:tc>
          <w:tcPr>
            <w:tcW w:w="2339" w:type="dxa"/>
            <w:shd w:val="clear" w:color="auto" w:fill="auto"/>
            <w:noWrap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eastAsia="方正仿宋_GBK"/>
                <w:szCs w:val="21"/>
                <w:lang w:eastAsia="zh-CN"/>
              </w:rPr>
              <w:t>租期按照</w:t>
            </w:r>
            <w:r>
              <w:rPr>
                <w:rFonts w:hint="eastAsia" w:ascii="方正仿宋_GBK" w:eastAsia="方正仿宋_GBK"/>
                <w:szCs w:val="21"/>
                <w:lang w:val="en-US" w:eastAsia="zh-CN"/>
              </w:rPr>
              <w:t>90天</w:t>
            </w:r>
            <w:r>
              <w:rPr>
                <w:rFonts w:hint="eastAsia" w:ascii="方正仿宋_GBK" w:eastAsia="方正仿宋_GBK"/>
                <w:szCs w:val="21"/>
                <w:lang w:eastAsia="zh-CN"/>
              </w:rPr>
              <w:t>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39" w:type="dxa"/>
            <w:shd w:val="clear" w:color="auto" w:fill="auto"/>
            <w:noWrap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方正仿宋_GBK" w:eastAsia="方正仿宋_GBK"/>
                <w:b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8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08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339" w:type="dxa"/>
            <w:shd w:val="clear" w:color="auto" w:fill="auto"/>
            <w:noWrap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方正仿宋_GBK" w:eastAsia="方正仿宋_GBK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9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692" w:type="dxa"/>
            <w:gridSpan w:val="6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总计</w:t>
            </w:r>
          </w:p>
        </w:tc>
        <w:tc>
          <w:tcPr>
            <w:tcW w:w="3265" w:type="dxa"/>
            <w:gridSpan w:val="2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default" w:ascii="方正黑体_GBK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/>
                <w:sz w:val="28"/>
                <w:szCs w:val="28"/>
                <w:lang w:val="en-US" w:eastAsia="zh-CN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3652" w:type="dxa"/>
            <w:gridSpan w:val="9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说明：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临时围挡长度及租用时间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有可能增减，具体以实际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验收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为准。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ascii="方正仿宋_GBK" w:eastAsia="方正仿宋_GBK"/>
                <w:sz w:val="32"/>
                <w:szCs w:val="32"/>
              </w:rPr>
              <w:t>.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本次报价含</w:t>
            </w:r>
            <w:r>
              <w:rPr>
                <w:rFonts w:hint="eastAsia" w:ascii="方正仿宋_GBK" w:hAnsi="宋体" w:eastAsia="方正仿宋_GBK"/>
                <w:sz w:val="32"/>
                <w:szCs w:val="32"/>
              </w:rPr>
              <w:t>西侧临时围挡租赁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的材料、制作、安装、安全、运输、发票、售后等一切费用。</w:t>
            </w:r>
          </w:p>
        </w:tc>
      </w:tr>
    </w:tbl>
    <w:p>
      <w:pPr>
        <w:adjustRightInd w:val="0"/>
        <w:snapToGrid w:val="0"/>
        <w:spacing w:line="240" w:lineRule="exact"/>
        <w:jc w:val="left"/>
        <w:rPr>
          <w:rFonts w:ascii="方正仿宋_GBK" w:eastAsia="方正仿宋_GBK"/>
          <w:szCs w:val="21"/>
        </w:rPr>
      </w:pPr>
    </w:p>
    <w:p>
      <w:pPr>
        <w:adjustRightInd w:val="0"/>
        <w:snapToGrid w:val="0"/>
        <w:spacing w:line="240" w:lineRule="exact"/>
        <w:jc w:val="left"/>
        <w:rPr>
          <w:rFonts w:ascii="方正仿宋_GBK" w:eastAsia="方正仿宋_GBK"/>
          <w:szCs w:val="21"/>
        </w:rPr>
      </w:pPr>
    </w:p>
    <w:p>
      <w:pPr>
        <w:adjustRightInd w:val="0"/>
        <w:snapToGrid w:val="0"/>
        <w:spacing w:line="240" w:lineRule="exact"/>
        <w:jc w:val="left"/>
        <w:rPr>
          <w:rFonts w:ascii="方正仿宋_GBK" w:eastAsia="方正仿宋_GBK"/>
          <w:szCs w:val="21"/>
        </w:rPr>
      </w:pPr>
    </w:p>
    <w:p/>
    <w:sectPr>
      <w:pgSz w:w="16838" w:h="11906" w:orient="landscape"/>
      <w:pgMar w:top="1418" w:right="1588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374173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5B"/>
    <w:rsid w:val="00021854"/>
    <w:rsid w:val="00036CED"/>
    <w:rsid w:val="000405FC"/>
    <w:rsid w:val="00076BD1"/>
    <w:rsid w:val="00080B51"/>
    <w:rsid w:val="0016395B"/>
    <w:rsid w:val="001829CB"/>
    <w:rsid w:val="00232E79"/>
    <w:rsid w:val="00262AD1"/>
    <w:rsid w:val="002672D6"/>
    <w:rsid w:val="00272DF2"/>
    <w:rsid w:val="00282330"/>
    <w:rsid w:val="003B7331"/>
    <w:rsid w:val="00451EE6"/>
    <w:rsid w:val="005C3047"/>
    <w:rsid w:val="005D7A3B"/>
    <w:rsid w:val="00612A8D"/>
    <w:rsid w:val="00645B77"/>
    <w:rsid w:val="006808ED"/>
    <w:rsid w:val="006A2194"/>
    <w:rsid w:val="006D39DA"/>
    <w:rsid w:val="006E47FB"/>
    <w:rsid w:val="008E6D90"/>
    <w:rsid w:val="009774C1"/>
    <w:rsid w:val="009C0DE7"/>
    <w:rsid w:val="009C7EF1"/>
    <w:rsid w:val="00A445BB"/>
    <w:rsid w:val="00B03857"/>
    <w:rsid w:val="00C17E0B"/>
    <w:rsid w:val="00C516E0"/>
    <w:rsid w:val="00D400D0"/>
    <w:rsid w:val="00D43EBD"/>
    <w:rsid w:val="00E51B0C"/>
    <w:rsid w:val="00E949D5"/>
    <w:rsid w:val="00F76266"/>
    <w:rsid w:val="00FC450E"/>
    <w:rsid w:val="0B557548"/>
    <w:rsid w:val="21CB59EC"/>
    <w:rsid w:val="2852616C"/>
    <w:rsid w:val="38894580"/>
    <w:rsid w:val="48E54E69"/>
    <w:rsid w:val="4FF44291"/>
    <w:rsid w:val="54C33AF6"/>
    <w:rsid w:val="57306BE8"/>
    <w:rsid w:val="59BB4822"/>
    <w:rsid w:val="5A9363C4"/>
    <w:rsid w:val="604727A0"/>
    <w:rsid w:val="6471743E"/>
    <w:rsid w:val="72E82BD1"/>
    <w:rsid w:val="77345BCF"/>
    <w:rsid w:val="7C19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276</Words>
  <Characters>1577</Characters>
  <Lines>13</Lines>
  <Paragraphs>3</Paragraphs>
  <TotalTime>6</TotalTime>
  <ScaleCrop>false</ScaleCrop>
  <LinksUpToDate>false</LinksUpToDate>
  <CharactersWithSpaces>1850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2020-04-29T06:37:00Z</dcterms:created>
  <dc:creator>Administrator</dc:creator>
  <cp:lastModifiedBy>Administrator</cp:lastModifiedBy>
  <cp:lastPrinted>2020-04-29T02:50:00Z</cp:lastPrinted>
  <dcterms:modified xsi:type="dcterms:W3CDTF">2020-04-30T07:29:08Z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