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eastAsia="方正小标宋_GBK"/>
          <w:kern w:val="0"/>
          <w:sz w:val="36"/>
          <w:szCs w:val="36"/>
        </w:rPr>
      </w:pPr>
    </w:p>
    <w:p>
      <w:pPr>
        <w:ind w:left="0" w:leftChars="0" w:firstLine="3218" w:firstLineChars="894"/>
        <w:rPr>
          <w:rFonts w:hint="default" w:eastAsia="方正小标宋_GBK"/>
          <w:kern w:val="0"/>
          <w:sz w:val="36"/>
          <w:szCs w:val="36"/>
        </w:rPr>
      </w:pPr>
      <w:r>
        <w:rPr>
          <w:rFonts w:hint="eastAsia" w:eastAsia="方正小标宋_GBK"/>
          <w:kern w:val="0"/>
          <w:sz w:val="36"/>
          <w:szCs w:val="36"/>
          <w:lang w:eastAsia="zh-CN"/>
        </w:rPr>
        <w:t>“</w:t>
      </w:r>
      <w:r>
        <w:rPr>
          <w:rFonts w:hint="eastAsia" w:eastAsia="方正小标宋_GBK"/>
          <w:kern w:val="0"/>
          <w:sz w:val="36"/>
          <w:szCs w:val="36"/>
          <w:lang w:val="en-US" w:eastAsia="zh-CN"/>
        </w:rPr>
        <w:t>爱·青春</w:t>
      </w:r>
      <w:r>
        <w:rPr>
          <w:rFonts w:hint="eastAsia" w:eastAsia="方正小标宋_GBK"/>
          <w:kern w:val="0"/>
          <w:sz w:val="36"/>
          <w:szCs w:val="36"/>
          <w:lang w:eastAsia="zh-CN"/>
        </w:rPr>
        <w:t>”</w:t>
      </w:r>
      <w:r>
        <w:rPr>
          <w:rFonts w:hint="eastAsia" w:eastAsia="方正小标宋_GBK"/>
          <w:kern w:val="0"/>
          <w:sz w:val="36"/>
          <w:szCs w:val="36"/>
          <w:lang w:val="en-US" w:eastAsia="zh-CN"/>
        </w:rPr>
        <w:t>公寓社工</w:t>
      </w:r>
      <w:r>
        <w:rPr>
          <w:rFonts w:hint="eastAsia" w:eastAsia="方正小标宋_GBK"/>
          <w:kern w:val="0"/>
          <w:sz w:val="36"/>
          <w:szCs w:val="36"/>
        </w:rPr>
        <w:t>服务</w:t>
      </w:r>
      <w:r>
        <w:rPr>
          <w:rFonts w:hint="default" w:eastAsia="方正小标宋_GBK"/>
          <w:kern w:val="0"/>
          <w:sz w:val="36"/>
          <w:szCs w:val="36"/>
        </w:rPr>
        <w:t>采购清单及预算</w:t>
      </w:r>
    </w:p>
    <w:tbl>
      <w:tblPr>
        <w:tblStyle w:val="7"/>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69"/>
        <w:gridCol w:w="7254"/>
        <w:gridCol w:w="846"/>
        <w:gridCol w:w="1063"/>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963" w:type="dxa"/>
            <w:noWrap w:val="0"/>
            <w:vAlign w:val="center"/>
          </w:tcPr>
          <w:p>
            <w:pPr>
              <w:widowControl/>
              <w:jc w:val="center"/>
              <w:rPr>
                <w:rFonts w:hint="default" w:eastAsia="黑体"/>
                <w:kern w:val="0"/>
                <w:sz w:val="24"/>
              </w:rPr>
            </w:pPr>
            <w:r>
              <w:rPr>
                <w:rFonts w:hint="default" w:eastAsia="黑体"/>
                <w:kern w:val="0"/>
                <w:sz w:val="24"/>
              </w:rPr>
              <w:t>序号</w:t>
            </w:r>
          </w:p>
        </w:tc>
        <w:tc>
          <w:tcPr>
            <w:tcW w:w="1969" w:type="dxa"/>
            <w:noWrap w:val="0"/>
            <w:vAlign w:val="center"/>
          </w:tcPr>
          <w:p>
            <w:pPr>
              <w:widowControl/>
              <w:jc w:val="center"/>
              <w:rPr>
                <w:rFonts w:hint="default" w:eastAsia="黑体"/>
                <w:kern w:val="0"/>
                <w:sz w:val="24"/>
              </w:rPr>
            </w:pPr>
            <w:r>
              <w:rPr>
                <w:rFonts w:hint="default" w:eastAsia="黑体"/>
                <w:kern w:val="0"/>
                <w:sz w:val="24"/>
              </w:rPr>
              <w:t>服务名目</w:t>
            </w:r>
          </w:p>
        </w:tc>
        <w:tc>
          <w:tcPr>
            <w:tcW w:w="7254" w:type="dxa"/>
            <w:noWrap w:val="0"/>
            <w:vAlign w:val="center"/>
          </w:tcPr>
          <w:p>
            <w:pPr>
              <w:widowControl/>
              <w:jc w:val="center"/>
              <w:rPr>
                <w:rFonts w:hint="default" w:eastAsia="黑体"/>
                <w:kern w:val="0"/>
                <w:sz w:val="24"/>
              </w:rPr>
            </w:pPr>
            <w:r>
              <w:rPr>
                <w:rFonts w:hint="default" w:eastAsia="黑体"/>
                <w:kern w:val="0"/>
                <w:sz w:val="24"/>
              </w:rPr>
              <w:t>服务内容</w:t>
            </w:r>
            <w:r>
              <w:rPr>
                <w:rFonts w:hint="eastAsia" w:eastAsia="黑体"/>
                <w:kern w:val="0"/>
                <w:sz w:val="24"/>
                <w:lang w:eastAsia="zh-CN"/>
              </w:rPr>
              <w:t>和标准</w:t>
            </w:r>
          </w:p>
        </w:tc>
        <w:tc>
          <w:tcPr>
            <w:tcW w:w="846" w:type="dxa"/>
            <w:noWrap w:val="0"/>
            <w:vAlign w:val="center"/>
          </w:tcPr>
          <w:p>
            <w:pPr>
              <w:widowControl/>
              <w:jc w:val="center"/>
              <w:rPr>
                <w:rFonts w:hint="default" w:eastAsia="黑体"/>
                <w:kern w:val="0"/>
                <w:sz w:val="24"/>
              </w:rPr>
            </w:pPr>
            <w:r>
              <w:rPr>
                <w:rFonts w:hint="default" w:eastAsia="黑体"/>
                <w:kern w:val="0"/>
                <w:sz w:val="24"/>
              </w:rPr>
              <w:t>数量</w:t>
            </w:r>
          </w:p>
        </w:tc>
        <w:tc>
          <w:tcPr>
            <w:tcW w:w="1063" w:type="dxa"/>
            <w:noWrap w:val="0"/>
            <w:vAlign w:val="center"/>
          </w:tcPr>
          <w:p>
            <w:pPr>
              <w:widowControl/>
              <w:jc w:val="center"/>
              <w:rPr>
                <w:rFonts w:hint="default" w:eastAsia="黑体"/>
                <w:kern w:val="0"/>
                <w:sz w:val="24"/>
              </w:rPr>
            </w:pPr>
            <w:r>
              <w:rPr>
                <w:rFonts w:hint="default" w:eastAsia="黑体"/>
                <w:kern w:val="0"/>
                <w:sz w:val="24"/>
              </w:rPr>
              <w:t>单价</w:t>
            </w:r>
          </w:p>
        </w:tc>
        <w:tc>
          <w:tcPr>
            <w:tcW w:w="1619" w:type="dxa"/>
            <w:noWrap w:val="0"/>
            <w:vAlign w:val="center"/>
          </w:tcPr>
          <w:p>
            <w:pPr>
              <w:widowControl/>
              <w:jc w:val="center"/>
              <w:rPr>
                <w:rFonts w:hint="default" w:eastAsia="黑体"/>
                <w:kern w:val="0"/>
                <w:sz w:val="24"/>
              </w:rPr>
            </w:pPr>
            <w:r>
              <w:rPr>
                <w:rFonts w:hint="eastAsia" w:eastAsia="黑体"/>
                <w:kern w:val="0"/>
                <w:sz w:val="24"/>
              </w:rPr>
              <w:t>合计</w:t>
            </w:r>
            <w:r>
              <w:rPr>
                <w:rFonts w:hint="default" w:eastAsia="黑体"/>
                <w:kern w:val="0"/>
                <w:sz w:val="24"/>
              </w:rPr>
              <w:t>金额</w:t>
            </w:r>
            <w:r>
              <w:rPr>
                <w:rFonts w:hint="eastAsia" w:eastAsia="黑体"/>
                <w:kern w:val="0"/>
                <w:sz w:val="24"/>
                <w:lang w:eastAsia="zh-CN"/>
              </w:rPr>
              <w:t>（</w:t>
            </w:r>
            <w:r>
              <w:rPr>
                <w:rFonts w:hint="default" w:eastAsia="黑体"/>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noWrap w:val="0"/>
            <w:vAlign w:val="center"/>
          </w:tcPr>
          <w:p>
            <w:pPr>
              <w:widowControl/>
              <w:jc w:val="center"/>
              <w:rPr>
                <w:rFonts w:hint="default" w:eastAsia="黑体"/>
                <w:kern w:val="0"/>
                <w:sz w:val="24"/>
              </w:rPr>
            </w:pPr>
            <w:r>
              <w:rPr>
                <w:rFonts w:hint="default" w:eastAsia="黑体"/>
                <w:kern w:val="0"/>
                <w:sz w:val="24"/>
              </w:rPr>
              <w:t>1</w:t>
            </w:r>
          </w:p>
        </w:tc>
        <w:tc>
          <w:tcPr>
            <w:tcW w:w="1969" w:type="dxa"/>
            <w:noWrap w:val="0"/>
            <w:vAlign w:val="center"/>
          </w:tcPr>
          <w:p>
            <w:pPr>
              <w:widowControl/>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sz w:val="24"/>
                <w:szCs w:val="24"/>
                <w:u w:val="none"/>
                <w:lang w:eastAsia="zh-CN"/>
              </w:rPr>
              <w:t>“</w:t>
            </w:r>
            <w:r>
              <w:rPr>
                <w:rFonts w:hint="eastAsia" w:ascii="方正仿宋_GBK" w:hAnsi="方正仿宋_GBK" w:eastAsia="方正仿宋_GBK" w:cs="方正仿宋_GBK"/>
                <w:sz w:val="24"/>
                <w:szCs w:val="24"/>
                <w:u w:val="none"/>
                <w:lang w:val="en-US" w:eastAsia="zh-CN"/>
              </w:rPr>
              <w:t>爱·青春</w:t>
            </w:r>
            <w:r>
              <w:rPr>
                <w:rFonts w:hint="eastAsia" w:ascii="方正仿宋_GBK" w:hAnsi="方正仿宋_GBK" w:eastAsia="方正仿宋_GBK" w:cs="方正仿宋_GBK"/>
                <w:sz w:val="24"/>
                <w:szCs w:val="24"/>
                <w:u w:val="none"/>
                <w:lang w:eastAsia="zh-CN"/>
              </w:rPr>
              <w:t>”</w:t>
            </w:r>
            <w:r>
              <w:rPr>
                <w:rFonts w:hint="eastAsia" w:ascii="方正仿宋_GBK" w:hAnsi="方正仿宋_GBK" w:eastAsia="方正仿宋_GBK" w:cs="方正仿宋_GBK"/>
                <w:sz w:val="24"/>
                <w:szCs w:val="24"/>
                <w:u w:val="none"/>
                <w:lang w:val="en-US" w:eastAsia="zh-CN"/>
              </w:rPr>
              <w:t>公寓社工</w:t>
            </w:r>
            <w:r>
              <w:rPr>
                <w:rFonts w:hint="eastAsia" w:ascii="方正仿宋_GBK" w:hAnsi="方正仿宋_GBK" w:eastAsia="方正仿宋_GBK" w:cs="方正仿宋_GBK"/>
                <w:sz w:val="24"/>
                <w:szCs w:val="24"/>
                <w:u w:val="none"/>
              </w:rPr>
              <w:t>服务</w:t>
            </w:r>
            <w:bookmarkStart w:id="2" w:name="_GoBack"/>
            <w:bookmarkEnd w:id="2"/>
            <w:r>
              <w:rPr>
                <w:rFonts w:hint="eastAsia" w:ascii="方正仿宋_GBK" w:hAnsi="方正仿宋_GBK" w:eastAsia="方正仿宋_GBK" w:cs="方正仿宋_GBK"/>
                <w:kern w:val="0"/>
                <w:sz w:val="24"/>
                <w:szCs w:val="24"/>
              </w:rPr>
              <w:t>　</w:t>
            </w:r>
          </w:p>
        </w:tc>
        <w:tc>
          <w:tcPr>
            <w:tcW w:w="7254" w:type="dxa"/>
            <w:noWrap w:val="0"/>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项目服务的具体开展以“非暴力沟通”为支持理论，综合运用社会工作专业方法，旨在实现“爱·青春”公寓社工站的三大服务功能。</w:t>
            </w:r>
            <w:r>
              <w:rPr>
                <w:rFonts w:hint="eastAsia" w:ascii="方正仿宋_GBK" w:hAnsi="方正仿宋_GBK" w:eastAsia="方正仿宋_GBK" w:cs="方正仿宋_GBK"/>
                <w:kern w:val="0"/>
                <w:sz w:val="24"/>
                <w:szCs w:val="24"/>
              </w:rPr>
              <w:t>　　　</w:t>
            </w:r>
          </w:p>
        </w:tc>
        <w:tc>
          <w:tcPr>
            <w:tcW w:w="846" w:type="dxa"/>
            <w:noWrap w:val="0"/>
            <w:vAlign w:val="center"/>
          </w:tcPr>
          <w:p>
            <w:pPr>
              <w:widowControl/>
              <w:jc w:val="center"/>
              <w:rPr>
                <w:rFonts w:hint="eastAsia" w:eastAsia="黑体"/>
                <w:kern w:val="0"/>
                <w:sz w:val="24"/>
                <w:lang w:val="en-US" w:eastAsia="zh-CN"/>
              </w:rPr>
            </w:pPr>
            <w:r>
              <w:rPr>
                <w:rFonts w:hint="default" w:eastAsia="黑体"/>
                <w:kern w:val="0"/>
                <w:sz w:val="24"/>
              </w:rPr>
              <w:t>　</w:t>
            </w:r>
            <w:r>
              <w:rPr>
                <w:rFonts w:hint="eastAsia" w:eastAsia="黑体"/>
                <w:kern w:val="0"/>
                <w:sz w:val="24"/>
                <w:lang w:val="en-US" w:eastAsia="zh-CN"/>
              </w:rPr>
              <w:t>1</w:t>
            </w:r>
          </w:p>
        </w:tc>
        <w:tc>
          <w:tcPr>
            <w:tcW w:w="1063" w:type="dxa"/>
            <w:noWrap w:val="0"/>
            <w:vAlign w:val="center"/>
          </w:tcPr>
          <w:p>
            <w:pPr>
              <w:widowControl/>
              <w:jc w:val="center"/>
              <w:rPr>
                <w:rFonts w:hint="default" w:eastAsia="黑体"/>
                <w:kern w:val="0"/>
                <w:sz w:val="24"/>
                <w:lang w:val="en-US" w:eastAsia="zh-CN"/>
              </w:rPr>
            </w:pPr>
            <w:r>
              <w:rPr>
                <w:rFonts w:hint="default" w:eastAsia="黑体"/>
                <w:kern w:val="0"/>
                <w:sz w:val="24"/>
              </w:rPr>
              <w:t>　</w:t>
            </w:r>
            <w:r>
              <w:rPr>
                <w:rFonts w:hint="eastAsia" w:eastAsia="黑体"/>
                <w:kern w:val="0"/>
                <w:sz w:val="24"/>
                <w:lang w:val="en-US" w:eastAsia="zh-CN"/>
              </w:rPr>
              <w:t>49000</w:t>
            </w:r>
          </w:p>
        </w:tc>
        <w:tc>
          <w:tcPr>
            <w:tcW w:w="1619" w:type="dxa"/>
            <w:noWrap w:val="0"/>
            <w:vAlign w:val="center"/>
          </w:tcPr>
          <w:p>
            <w:pPr>
              <w:widowControl/>
              <w:jc w:val="center"/>
              <w:rPr>
                <w:rFonts w:hint="default" w:eastAsia="黑体"/>
                <w:kern w:val="0"/>
                <w:sz w:val="24"/>
              </w:rPr>
            </w:pPr>
            <w:r>
              <w:rPr>
                <w:rFonts w:hint="eastAsia" w:eastAsia="黑体"/>
                <w:kern w:val="0"/>
                <w:sz w:val="24"/>
                <w:lang w:val="en-US" w:eastAsia="zh-CN"/>
              </w:rPr>
              <w:t>49000</w:t>
            </w:r>
            <w:r>
              <w:rPr>
                <w:rFonts w:hint="default" w:eastAsia="黑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noWrap w:val="0"/>
            <w:vAlign w:val="center"/>
          </w:tcPr>
          <w:p>
            <w:pPr>
              <w:widowControl/>
              <w:jc w:val="center"/>
              <w:rPr>
                <w:rFonts w:hint="default" w:eastAsia="黑体"/>
                <w:kern w:val="0"/>
                <w:sz w:val="24"/>
              </w:rPr>
            </w:pPr>
            <w:r>
              <w:rPr>
                <w:rFonts w:hint="default" w:eastAsia="黑体"/>
                <w:kern w:val="0"/>
                <w:sz w:val="24"/>
              </w:rPr>
              <w:t>合计</w:t>
            </w:r>
          </w:p>
        </w:tc>
        <w:tc>
          <w:tcPr>
            <w:tcW w:w="9223" w:type="dxa"/>
            <w:gridSpan w:val="2"/>
            <w:noWrap w:val="0"/>
            <w:vAlign w:val="center"/>
          </w:tcPr>
          <w:p>
            <w:pPr>
              <w:widowControl/>
              <w:jc w:val="left"/>
              <w:rPr>
                <w:rFonts w:hint="default" w:eastAsia="黑体"/>
                <w:kern w:val="0"/>
                <w:sz w:val="24"/>
                <w:lang w:val="en-US" w:eastAsia="zh-CN"/>
              </w:rPr>
            </w:pPr>
            <w:r>
              <w:rPr>
                <w:rFonts w:hint="default" w:eastAsia="黑体"/>
                <w:kern w:val="0"/>
                <w:sz w:val="24"/>
              </w:rPr>
              <w:t>人民币大写：</w:t>
            </w:r>
            <w:r>
              <w:rPr>
                <w:rFonts w:hint="eastAsia" w:eastAsia="黑体"/>
                <w:kern w:val="0"/>
                <w:sz w:val="24"/>
                <w:lang w:val="en-US" w:eastAsia="zh-CN"/>
              </w:rPr>
              <w:t>肆万玖仟元整</w:t>
            </w:r>
          </w:p>
        </w:tc>
        <w:tc>
          <w:tcPr>
            <w:tcW w:w="846" w:type="dxa"/>
            <w:noWrap w:val="0"/>
            <w:vAlign w:val="center"/>
          </w:tcPr>
          <w:p>
            <w:pPr>
              <w:widowControl/>
              <w:jc w:val="left"/>
              <w:rPr>
                <w:rFonts w:hint="default" w:eastAsia="黑体"/>
                <w:kern w:val="0"/>
                <w:sz w:val="24"/>
              </w:rPr>
            </w:pPr>
          </w:p>
        </w:tc>
        <w:tc>
          <w:tcPr>
            <w:tcW w:w="1063" w:type="dxa"/>
            <w:noWrap w:val="0"/>
            <w:vAlign w:val="center"/>
          </w:tcPr>
          <w:p>
            <w:pPr>
              <w:widowControl/>
              <w:jc w:val="left"/>
              <w:rPr>
                <w:rFonts w:hint="default" w:eastAsia="黑体"/>
                <w:kern w:val="0"/>
                <w:sz w:val="24"/>
              </w:rPr>
            </w:pPr>
          </w:p>
        </w:tc>
        <w:tc>
          <w:tcPr>
            <w:tcW w:w="1619" w:type="dxa"/>
            <w:noWrap w:val="0"/>
            <w:vAlign w:val="center"/>
          </w:tcPr>
          <w:p>
            <w:pPr>
              <w:widowControl/>
              <w:jc w:val="center"/>
              <w:rPr>
                <w:rFonts w:hint="default" w:eastAsia="黑体"/>
                <w:kern w:val="0"/>
                <w:sz w:val="24"/>
              </w:rPr>
            </w:pPr>
            <w:r>
              <w:rPr>
                <w:rFonts w:hint="eastAsia" w:eastAsia="黑体"/>
                <w:kern w:val="0"/>
                <w:sz w:val="24"/>
                <w:lang w:val="en-US" w:eastAsia="zh-CN"/>
              </w:rPr>
              <w:t>49000</w:t>
            </w:r>
            <w:r>
              <w:rPr>
                <w:rFonts w:hint="default" w:eastAsia="黑体"/>
                <w:kern w:val="0"/>
                <w:sz w:val="24"/>
              </w:rPr>
              <w:t>　</w:t>
            </w:r>
          </w:p>
        </w:tc>
      </w:tr>
    </w:tbl>
    <w:p>
      <w:pPr>
        <w:widowControl/>
        <w:jc w:val="center"/>
        <w:rPr>
          <w:rFonts w:hint="eastAsia" w:eastAsia="方正小标宋_GBK"/>
          <w:kern w:val="0"/>
          <w:sz w:val="36"/>
          <w:szCs w:val="36"/>
        </w:rPr>
        <w:sectPr>
          <w:pgSz w:w="16838" w:h="11906" w:orient="landscape"/>
          <w:pgMar w:top="1134" w:right="1157" w:bottom="1134" w:left="1157" w:header="851" w:footer="992" w:gutter="0"/>
          <w:cols w:space="720" w:num="1"/>
          <w:docGrid w:type="lines" w:linePitch="312" w:charSpace="0"/>
        </w:sectPr>
      </w:pPr>
    </w:p>
    <w:p>
      <w:pPr>
        <w:pStyle w:val="4"/>
        <w:shd w:val="clear" w:color="auto" w:fill="FFFFFF"/>
        <w:spacing w:line="360" w:lineRule="auto"/>
        <w:jc w:val="center"/>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val="en-US" w:eastAsia="zh-CN"/>
        </w:rPr>
        <w:t>项目商务需求方案</w:t>
      </w:r>
    </w:p>
    <w:p>
      <w:pPr>
        <w:pStyle w:val="2"/>
        <w:spacing w:before="0" w:after="0" w:line="440" w:lineRule="exact"/>
        <w:rPr>
          <w:rFonts w:hint="default"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实施</w:t>
      </w:r>
      <w:r>
        <w:rPr>
          <w:rFonts w:hint="eastAsia" w:ascii="方正仿宋_GBK" w:hAnsi="宋体" w:eastAsia="方正仿宋_GBK"/>
          <w:sz w:val="24"/>
          <w:szCs w:val="24"/>
        </w:rPr>
        <w:t>时间、地点及验收方式</w:t>
      </w:r>
    </w:p>
    <w:p>
      <w:pPr>
        <w:pStyle w:val="5"/>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w:t>
      </w:r>
      <w:r>
        <w:rPr>
          <w:rFonts w:hint="eastAsia" w:ascii="方正仿宋_GBK" w:hAnsi="宋体" w:eastAsia="方正仿宋_GBK"/>
          <w:color w:val="000000" w:themeColor="text1"/>
          <w:sz w:val="24"/>
          <w:szCs w:val="24"/>
          <w:lang w:val="en-US" w:eastAsia="zh-CN"/>
          <w14:textFill>
            <w14:solidFill>
              <w14:schemeClr w14:val="tx1"/>
            </w14:solidFill>
          </w14:textFill>
        </w:rPr>
        <w:t>实施</w:t>
      </w:r>
      <w:r>
        <w:rPr>
          <w:rFonts w:hint="eastAsia" w:ascii="方正仿宋_GBK" w:hAnsi="宋体" w:eastAsia="方正仿宋_GBK"/>
          <w:color w:val="000000" w:themeColor="text1"/>
          <w:sz w:val="24"/>
          <w:szCs w:val="24"/>
          <w14:textFill>
            <w14:solidFill>
              <w14:schemeClr w14:val="tx1"/>
            </w14:solidFill>
          </w14:textFill>
        </w:rPr>
        <w:t>时间</w:t>
      </w:r>
    </w:p>
    <w:p>
      <w:pPr>
        <w:pStyle w:val="5"/>
        <w:tabs>
          <w:tab w:val="left" w:pos="4905"/>
        </w:tabs>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1.签订合同</w:t>
      </w:r>
      <w:r>
        <w:rPr>
          <w:rFonts w:hint="eastAsia" w:ascii="方正仿宋_GBK" w:hAnsi="宋体" w:eastAsia="方正仿宋_GBK"/>
          <w:color w:val="000000" w:themeColor="text1"/>
          <w:sz w:val="24"/>
          <w:szCs w:val="24"/>
          <w:lang w:val="en-US" w:eastAsia="zh-CN"/>
          <w14:textFill>
            <w14:solidFill>
              <w14:schemeClr w14:val="tx1"/>
            </w14:solidFill>
          </w14:textFill>
        </w:rPr>
        <w:t>按要求</w:t>
      </w:r>
      <w:r>
        <w:rPr>
          <w:rFonts w:hint="eastAsia" w:ascii="方正仿宋_GBK" w:hAnsi="宋体" w:eastAsia="方正仿宋_GBK"/>
          <w:color w:val="000000" w:themeColor="text1"/>
          <w:sz w:val="24"/>
          <w:szCs w:val="24"/>
          <w14:textFill>
            <w14:solidFill>
              <w14:schemeClr w14:val="tx1"/>
            </w14:solidFill>
          </w14:textFill>
        </w:rPr>
        <w:t>完成</w:t>
      </w:r>
      <w:r>
        <w:rPr>
          <w:rFonts w:hint="eastAsia" w:ascii="方正仿宋_GBK" w:hAnsi="宋体" w:eastAsia="方正仿宋_GBK"/>
          <w:color w:val="000000" w:themeColor="text1"/>
          <w:sz w:val="24"/>
          <w:szCs w:val="24"/>
          <w:lang w:eastAsia="zh-CN"/>
          <w14:textFill>
            <w14:solidFill>
              <w14:schemeClr w14:val="tx1"/>
            </w14:solidFill>
          </w14:textFill>
        </w:rPr>
        <w:t>合同约定的所有内容</w:t>
      </w:r>
      <w:r>
        <w:rPr>
          <w:rFonts w:hint="eastAsia" w:ascii="方正仿宋_GBK" w:hAnsi="宋体" w:eastAsia="方正仿宋_GBK"/>
          <w:color w:val="000000" w:themeColor="text1"/>
          <w:sz w:val="24"/>
          <w:szCs w:val="24"/>
          <w14:textFill>
            <w14:solidFill>
              <w14:schemeClr w14:val="tx1"/>
            </w14:solidFill>
          </w14:textFill>
        </w:rPr>
        <w:t>。</w:t>
      </w:r>
    </w:p>
    <w:p>
      <w:pPr>
        <w:pStyle w:val="5"/>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w:t>
      </w:r>
      <w:r>
        <w:rPr>
          <w:rFonts w:hint="eastAsia" w:ascii="方正仿宋_GBK" w:hAnsi="宋体" w:eastAsia="方正仿宋_GBK"/>
          <w:color w:val="000000" w:themeColor="text1"/>
          <w:sz w:val="24"/>
          <w:szCs w:val="24"/>
          <w:lang w:val="en-US" w:eastAsia="zh-CN"/>
          <w14:textFill>
            <w14:solidFill>
              <w14:schemeClr w14:val="tx1"/>
            </w14:solidFill>
          </w14:textFill>
        </w:rPr>
        <w:t>实施</w:t>
      </w:r>
      <w:r>
        <w:rPr>
          <w:rFonts w:hint="eastAsia" w:ascii="方正仿宋_GBK" w:hAnsi="宋体" w:eastAsia="方正仿宋_GBK"/>
          <w:color w:val="000000" w:themeColor="text1"/>
          <w:sz w:val="24"/>
          <w:szCs w:val="24"/>
          <w14:textFill>
            <w14:solidFill>
              <w14:schemeClr w14:val="tx1"/>
            </w14:solidFill>
          </w14:textFill>
        </w:rPr>
        <w:t>地点</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lang w:eastAsia="zh-CN"/>
          <w14:textFill>
            <w14:solidFill>
              <w14:schemeClr w14:val="tx1"/>
            </w14:solidFill>
          </w14:textFill>
        </w:rPr>
        <w:t>重庆城市管理职业学院</w:t>
      </w:r>
      <w:r>
        <w:rPr>
          <w:rFonts w:hint="eastAsia" w:ascii="方正仿宋_GBK" w:hAnsi="宋体" w:eastAsia="方正仿宋_GBK"/>
          <w:color w:val="000000" w:themeColor="text1"/>
          <w:sz w:val="24"/>
          <w:szCs w:val="24"/>
          <w:lang w:val="en-US" w:eastAsia="zh-CN"/>
          <w14:textFill>
            <w14:solidFill>
              <w14:schemeClr w14:val="tx1"/>
            </w14:solidFill>
          </w14:textFill>
        </w:rPr>
        <w:t>G栋宿舍</w:t>
      </w:r>
      <w:r>
        <w:rPr>
          <w:rFonts w:hint="eastAsia" w:ascii="方正仿宋_GBK" w:hAnsi="宋体" w:eastAsia="方正仿宋_GBK"/>
          <w:color w:val="000000" w:themeColor="text1"/>
          <w:sz w:val="24"/>
          <w:szCs w:val="24"/>
          <w14:textFill>
            <w14:solidFill>
              <w14:schemeClr w14:val="tx1"/>
            </w14:solidFill>
          </w14:textFill>
        </w:rPr>
        <w:t>。</w:t>
      </w:r>
    </w:p>
    <w:p>
      <w:pPr>
        <w:pStyle w:val="5"/>
        <w:numPr>
          <w:ilvl w:val="0"/>
          <w:numId w:val="1"/>
        </w:numPr>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验收方式</w:t>
      </w:r>
    </w:p>
    <w:p>
      <w:pPr>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由采购人根据竞争性磋商文件要求，中标供应商圆满完成各项要求并无投诉，视为验收合格。如果服务期间有人投诉，将承担违约责任，每接到服务对象等相关人员投诉一次并经查证属成交供应商责任的，</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在履约保证金里</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扣除合同总金额的0.5%，扣完为止。如出现重大失误，由</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成交供应商</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全权负责，采购人不负任何责任，并</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在履约保证金里</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扣除合同总金额的5%，并有权终止服务合同。</w:t>
      </w:r>
    </w:p>
    <w:p>
      <w:pPr>
        <w:spacing w:line="500" w:lineRule="exact"/>
        <w:ind w:firstLine="480" w:firstLineChars="200"/>
        <w:rPr>
          <w:rFonts w:hint="eastAsia"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成交</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供应商每半年向采购人汇报项目开展情况，接受评议，提交书面材料。响应文件中更优服务的，以响应文件中承诺的服务验收。</w:t>
      </w:r>
    </w:p>
    <w:p>
      <w:pPr>
        <w:pStyle w:val="5"/>
        <w:numPr>
          <w:ilvl w:val="0"/>
          <w:numId w:val="0"/>
        </w:numPr>
        <w:spacing w:line="400" w:lineRule="exact"/>
        <w:rPr>
          <w:rFonts w:hint="eastAsia" w:ascii="方正仿宋_GBK" w:hAnsi="宋体" w:eastAsia="方正仿宋_GBK"/>
          <w:b/>
          <w:bCs/>
          <w:color w:val="000000" w:themeColor="text1"/>
          <w:sz w:val="24"/>
          <w:szCs w:val="24"/>
          <w:lang w:val="en-US" w:eastAsia="zh-CN"/>
          <w14:textFill>
            <w14:solidFill>
              <w14:schemeClr w14:val="tx1"/>
            </w14:solidFill>
          </w14:textFill>
        </w:rPr>
      </w:pPr>
      <w:r>
        <w:rPr>
          <w:rFonts w:hint="eastAsia" w:ascii="方正仿宋_GBK" w:hAnsi="宋体" w:eastAsia="方正仿宋_GBK"/>
          <w:b/>
          <w:bCs/>
          <w:color w:val="000000" w:themeColor="text1"/>
          <w:sz w:val="24"/>
          <w:szCs w:val="24"/>
          <w:lang w:val="en-US" w:eastAsia="zh-CN"/>
          <w14:textFill>
            <w14:solidFill>
              <w14:schemeClr w14:val="tx1"/>
            </w14:solidFill>
          </w14:textFill>
        </w:rPr>
        <w:t>二、项目内容</w:t>
      </w:r>
    </w:p>
    <w:p>
      <w:pPr>
        <w:pStyle w:val="5"/>
        <w:numPr>
          <w:ilvl w:val="0"/>
          <w:numId w:val="0"/>
        </w:numPr>
        <w:spacing w:line="400" w:lineRule="exact"/>
        <w:ind w:firstLine="480"/>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项目服务的具体开展以“非暴力沟通”为支持理论，综合运用社会工作专业方法，旨在实现“爱·青春”公寓社工站的三大服务功能，即：自我服务功能——休闲娱乐+自主学习；专业服务功能——心理支持+社工活动；志愿服务功能——人才培育+素质提升。</w:t>
      </w:r>
    </w:p>
    <w:p>
      <w:pPr>
        <w:pStyle w:val="5"/>
        <w:numPr>
          <w:ilvl w:val="0"/>
          <w:numId w:val="0"/>
        </w:numPr>
        <w:spacing w:line="400" w:lineRule="exact"/>
        <w:ind w:firstLine="480" w:firstLineChars="200"/>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（一）具体内容</w:t>
      </w:r>
    </w:p>
    <w:p>
      <w:pPr>
        <w:pStyle w:val="5"/>
        <w:numPr>
          <w:ilvl w:val="0"/>
          <w:numId w:val="0"/>
        </w:numPr>
        <w:spacing w:line="400" w:lineRule="exact"/>
        <w:ind w:firstLine="480" w:firstLineChars="200"/>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1.常规服务</w:t>
      </w:r>
    </w:p>
    <w:p>
      <w:pPr>
        <w:pStyle w:val="5"/>
        <w:numPr>
          <w:ilvl w:val="0"/>
          <w:numId w:val="0"/>
        </w:numPr>
        <w:spacing w:line="400" w:lineRule="exact"/>
        <w:ind w:firstLine="480" w:firstLineChars="200"/>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包括社工站内日常接访和前往学生宿舍探访两大板块。</w:t>
      </w:r>
    </w:p>
    <w:p>
      <w:pPr>
        <w:pStyle w:val="5"/>
        <w:numPr>
          <w:ilvl w:val="0"/>
          <w:numId w:val="0"/>
        </w:numPr>
        <w:spacing w:line="400" w:lineRule="exact"/>
        <w:ind w:firstLine="480" w:firstLineChars="200"/>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学生宿舍探访：开展集中探访活动和个别探访活动，与学生建立关系，主动发现学生问题。</w:t>
      </w:r>
    </w:p>
    <w:p>
      <w:pPr>
        <w:pStyle w:val="5"/>
        <w:numPr>
          <w:ilvl w:val="0"/>
          <w:numId w:val="0"/>
        </w:numPr>
        <w:spacing w:line="400" w:lineRule="exact"/>
        <w:ind w:leftChars="200"/>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2.特色服务</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包括大型公寓活动、陪伴支持、公寓电台和互助参与等多项服务。</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200"/>
        <w:textAlignment w:val="auto"/>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大型公寓活动：针对宿舍楼内各群体开展大型集体活动，尽量做到人人参与。</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陪伴支持服务：开通服务热线，通过线上线下两种形式开展心理咨询和个案辅导。开展非暴沙龙，针对宿舍关系、同学关系、恋爱关系、家庭关系、职场关系、自我认知六大板块，结合“对话青春”的热点、共性问题，开展深度讨论。</w:t>
      </w:r>
    </w:p>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公</w:t>
      </w: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寓电台服务：开设精读鉴赏和学生电台板块，鼓励学生用自己的声音传递心声，扩大电台在学生中的影响力。</w:t>
      </w:r>
    </w:p>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textAlignment w:val="auto"/>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互助参与服务：</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主要开设低偿自愿的茶水服务、开展公益跳蚤市场、开展意趣格子铺等。</w:t>
      </w:r>
    </w:p>
    <w:p>
      <w:pPr>
        <w:pStyle w:val="5"/>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（二）服务产出</w:t>
      </w:r>
    </w:p>
    <w:p>
      <w:pPr>
        <w:pStyle w:val="5"/>
        <w:numPr>
          <w:ilvl w:val="0"/>
          <w:numId w:val="0"/>
        </w:numPr>
        <w:spacing w:line="400" w:lineRule="exact"/>
        <w:ind w:firstLine="480" w:firstLineChars="200"/>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w:t>
      </w: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平均探访量达20人次以上；</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2.开展集中探访活动3次，其中1次宿舍全覆盖、1次针对大一新生、1次针对临近实习的学生；</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3.开展个别探访服务，全年不少于100人次；</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4.定期开展工作例会，团队工作例会不少于12次，志愿团队工作例会不少于20次，项目抓手联动例会不少于4次；</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5.开展大型公寓活动4场，每场直接参与人数不少于200人次；</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6.开展陪伴支持服务，其中服务热线不少于100人次的接访量、深度个案不少于2个；</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7.开展非暴沙龙不少于5期，平均每期不少于20人；</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8.开展公寓电台服务，其中精读鉴赏不少于12期，学生电台不少于6期；</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9.开展协商共议活动不少于2场；</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10.开展跳蚤市场活动不少于1场；</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11.开展节假日主题活动不少于2场；</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12.开展小组活动不低于12次；</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13.形成主动发现动态管理机制经验材料1份；</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14.形成社工人才校内实践联合培育机制经验材料1份；</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4"/>
          <w:szCs w:val="24"/>
          <w:lang w:val="en-US" w:eastAsia="zh-CN" w:bidi="ar-SA"/>
          <w14:textFill>
            <w14:solidFill>
              <w14:schemeClr w14:val="tx1"/>
            </w14:solidFill>
          </w14:textFill>
        </w:rPr>
        <w:t>15.形成公寓社工共享驿站服务管理机制经验材料1份；</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16.培育一支不少于10人的公寓社工学生助手。</w:t>
      </w:r>
    </w:p>
    <w:p>
      <w:pPr>
        <w:pStyle w:val="2"/>
        <w:spacing w:before="0" w:after="0" w:line="400" w:lineRule="exact"/>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三</w:t>
      </w:r>
      <w:r>
        <w:rPr>
          <w:rFonts w:hint="eastAsia" w:ascii="方正仿宋_GBK" w:hAnsi="宋体" w:eastAsia="方正仿宋_GBK"/>
          <w:color w:val="000000" w:themeColor="text1"/>
          <w:sz w:val="24"/>
          <w:szCs w:val="24"/>
          <w14:textFill>
            <w14:solidFill>
              <w14:schemeClr w14:val="tx1"/>
            </w14:solidFill>
          </w14:textFill>
        </w:rPr>
        <w:t>、报价要求</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报价须为人民币报价，包括完成本项目所需的服务及各种应纳的税费。因成交供应商自身原因造成漏报、少报皆由其自行承担责任，采购人不再补偿。</w:t>
      </w:r>
    </w:p>
    <w:p>
      <w:pPr>
        <w:pStyle w:val="3"/>
        <w:keepNext/>
        <w:keepLines/>
        <w:adjustRightInd w:val="0"/>
        <w:snapToGrid w:val="0"/>
        <w:spacing w:before="0" w:beforeAutospacing="0" w:after="0" w:afterAutospacing="0" w:line="400" w:lineRule="exact"/>
        <w:jc w:val="both"/>
        <w:rPr>
          <w:rFonts w:hint="eastAsia" w:ascii="方正仿宋_GBK" w:eastAsia="方正仿宋_GBK" w:cs="Times New Roman"/>
          <w:b/>
          <w:color w:val="000000" w:themeColor="text1"/>
          <w:kern w:val="2"/>
          <w:sz w:val="24"/>
          <w:szCs w:val="24"/>
          <w14:textFill>
            <w14:solidFill>
              <w14:schemeClr w14:val="tx1"/>
            </w14:solidFill>
          </w14:textFill>
        </w:rPr>
      </w:pPr>
      <w:bookmarkStart w:id="0" w:name="_Toc75793512"/>
      <w:bookmarkStart w:id="1" w:name="_Toc267320051"/>
      <w:r>
        <w:rPr>
          <w:rFonts w:hint="eastAsia" w:ascii="方正仿宋_GBK" w:eastAsia="方正仿宋_GBK" w:cs="Times New Roman"/>
          <w:b/>
          <w:color w:val="000000" w:themeColor="text1"/>
          <w:kern w:val="2"/>
          <w:sz w:val="24"/>
          <w:szCs w:val="24"/>
          <w:lang w:val="en-US" w:eastAsia="zh-CN"/>
          <w14:textFill>
            <w14:solidFill>
              <w14:schemeClr w14:val="tx1"/>
            </w14:solidFill>
          </w14:textFill>
        </w:rPr>
        <w:t>四</w:t>
      </w:r>
      <w:r>
        <w:rPr>
          <w:rFonts w:hint="eastAsia" w:ascii="方正仿宋_GBK" w:eastAsia="方正仿宋_GBK" w:cs="Times New Roman"/>
          <w:b/>
          <w:color w:val="000000" w:themeColor="text1"/>
          <w:kern w:val="2"/>
          <w:sz w:val="24"/>
          <w:szCs w:val="24"/>
          <w14:textFill>
            <w14:solidFill>
              <w14:schemeClr w14:val="tx1"/>
            </w14:solidFill>
          </w14:textFill>
        </w:rPr>
        <w:t>、付款方式</w:t>
      </w:r>
      <w:bookmarkEnd w:id="0"/>
      <w:bookmarkEnd w:id="1"/>
    </w:p>
    <w:p>
      <w:pPr>
        <w:spacing w:line="400" w:lineRule="exact"/>
        <w:ind w:firstLine="480" w:firstLineChars="200"/>
        <w:rPr>
          <w:rFonts w:hint="eastAsia" w:ascii="方正仿宋_GBK" w:hAnsi="宋体" w:eastAsia="方正仿宋_GBK" w:cs="Times New Roman"/>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验收合格后，成交供应商向采购人提供增值税普通（或专用）发票，采购人向成交供应商支付合同全款（可以根据项目进度，规定付款比例）。</w:t>
      </w:r>
    </w:p>
    <w:p>
      <w:pPr>
        <w:pStyle w:val="2"/>
        <w:spacing w:before="0" w:after="0" w:line="400" w:lineRule="exact"/>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五</w:t>
      </w:r>
      <w:r>
        <w:rPr>
          <w:rFonts w:hint="eastAsia" w:ascii="方正仿宋_GBK" w:hAnsi="宋体" w:eastAsia="方正仿宋_GBK"/>
          <w:color w:val="000000" w:themeColor="text1"/>
          <w:sz w:val="24"/>
          <w:szCs w:val="24"/>
          <w14:textFill>
            <w14:solidFill>
              <w14:schemeClr w14:val="tx1"/>
            </w14:solidFill>
          </w14:textFill>
        </w:rPr>
        <w:t>、知识产权及保密要求</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50"/>
        <w:textAlignment w:val="auto"/>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供应商应当保证其有关履行本合同的任何行为不会侵犯任何第三方的知识产权。本项合同全部或任何部分的相关知识产权，包括相关权益，均归采购人所有。采购人将拥有本协议项目下所有成果的完整知识产权。</w:t>
      </w:r>
      <w:r>
        <w:rPr>
          <w:rFonts w:hint="eastAsia" w:ascii="方正仿宋_GBK" w:hAnsi="宋体" w:eastAsia="方正仿宋_GBK" w:cs="宋体"/>
          <w:color w:val="000000" w:themeColor="text1"/>
          <w:kern w:val="0"/>
          <w:sz w:val="24"/>
          <w:szCs w:val="24"/>
          <w14:textFill>
            <w14:solidFill>
              <w14:schemeClr w14:val="tx1"/>
            </w14:solidFill>
          </w14:textFill>
        </w:rPr>
        <w:t>如果第三方提出侵权指控，</w:t>
      </w:r>
      <w:r>
        <w:rPr>
          <w:rFonts w:hint="eastAsia" w:ascii="方正仿宋_GBK" w:hAnsi="宋体" w:eastAsia="方正仿宋_GBK" w:cs="宋体"/>
          <w:color w:val="000000" w:themeColor="text1"/>
          <w:kern w:val="0"/>
          <w:sz w:val="24"/>
          <w:szCs w:val="24"/>
          <w:lang w:eastAsia="zh-CN"/>
          <w14:textFill>
            <w14:solidFill>
              <w14:schemeClr w14:val="tx1"/>
            </w14:solidFill>
          </w14:textFill>
        </w:rPr>
        <w:t>供应商</w:t>
      </w:r>
      <w:r>
        <w:rPr>
          <w:rFonts w:hint="eastAsia" w:ascii="方正仿宋_GBK" w:hAnsi="宋体" w:eastAsia="方正仿宋_GBK" w:cs="宋体"/>
          <w:color w:val="000000" w:themeColor="text1"/>
          <w:kern w:val="0"/>
          <w:sz w:val="24"/>
          <w:szCs w:val="24"/>
          <w14:textFill>
            <w14:solidFill>
              <w14:schemeClr w14:val="tx1"/>
            </w14:solidFill>
          </w14:textFill>
        </w:rPr>
        <w:t>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注：（若涉及软件开发等服务类项目知识产权的，知识产权归采购人所有）。</w:t>
      </w:r>
    </w:p>
    <w:p>
      <w:pPr>
        <w:pStyle w:val="2"/>
        <w:spacing w:before="0" w:after="0" w:line="400" w:lineRule="exact"/>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六</w:t>
      </w:r>
      <w:r>
        <w:rPr>
          <w:rFonts w:hint="eastAsia" w:ascii="方正仿宋_GBK" w:hAnsi="宋体" w:eastAsia="方正仿宋_GBK"/>
          <w:color w:val="000000" w:themeColor="text1"/>
          <w:sz w:val="24"/>
          <w:szCs w:val="24"/>
          <w14:textFill>
            <w14:solidFill>
              <w14:schemeClr w14:val="tx1"/>
            </w14:solidFill>
          </w14:textFill>
        </w:rPr>
        <w:t>、培训</w:t>
      </w:r>
    </w:p>
    <w:p>
      <w:pPr>
        <w:snapToGrid w:val="0"/>
        <w:spacing w:line="400" w:lineRule="exact"/>
        <w:ind w:firstLine="54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成交供应商须提供对设备的操作培训，使相关使用人员能够正常操作相关设备。</w:t>
      </w:r>
    </w:p>
    <w:p>
      <w:pPr>
        <w:pStyle w:val="2"/>
        <w:spacing w:before="0" w:after="0" w:line="400" w:lineRule="exact"/>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七</w:t>
      </w:r>
      <w:r>
        <w:rPr>
          <w:rFonts w:hint="eastAsia" w:ascii="方正仿宋_GBK" w:hAnsi="宋体" w:eastAsia="方正仿宋_GBK"/>
          <w:color w:val="000000" w:themeColor="text1"/>
          <w:sz w:val="24"/>
          <w:szCs w:val="24"/>
          <w14:textFill>
            <w14:solidFill>
              <w14:schemeClr w14:val="tx1"/>
            </w14:solidFill>
          </w14:textFill>
        </w:rPr>
        <w:t>、其他</w:t>
      </w:r>
    </w:p>
    <w:p>
      <w:pPr>
        <w:snapToGrid w:val="0"/>
        <w:spacing w:line="400" w:lineRule="exact"/>
        <w:ind w:firstLine="540"/>
        <w:rPr>
          <w:rFonts w:hint="eastAsia" w:ascii="方正仿宋_GBK" w:eastAsia="方正仿宋_GBK"/>
          <w:color w:val="000000" w:themeColor="text1"/>
          <w:sz w:val="24"/>
          <w:szCs w:val="24"/>
          <w:lang w:eastAsia="zh-CN"/>
          <w14:textFill>
            <w14:solidFill>
              <w14:schemeClr w14:val="tx1"/>
            </w14:solidFill>
          </w14:textFill>
        </w:rPr>
      </w:pPr>
      <w:r>
        <w:rPr>
          <w:rFonts w:hint="eastAsia" w:ascii="方正仿宋_GBK" w:eastAsia="方正仿宋_GBK"/>
          <w:color w:val="000000" w:themeColor="text1"/>
          <w:sz w:val="24"/>
          <w:szCs w:val="24"/>
          <w:lang w:eastAsia="zh-CN"/>
          <w14:textFill>
            <w14:solidFill>
              <w14:schemeClr w14:val="tx1"/>
            </w14:solidFill>
          </w14:textFill>
        </w:rPr>
        <w:t>（一）供应商必须在响应文件中对以上条款和服务承诺明确列出，承诺内容必须达到本篇及其他条款要求。</w:t>
      </w:r>
    </w:p>
    <w:p>
      <w:pPr>
        <w:ind w:firstLine="480" w:firstLineChars="200"/>
        <w:rPr>
          <w:color w:val="000000" w:themeColor="text1"/>
          <w:lang w:val="en-US" w:eastAsia="zh-CN"/>
          <w14:textFill>
            <w14:solidFill>
              <w14:schemeClr w14:val="tx1"/>
            </w14:solidFill>
          </w14:textFill>
        </w:rPr>
      </w:pPr>
      <w:r>
        <w:rPr>
          <w:rFonts w:hint="eastAsia" w:ascii="方正仿宋_GBK" w:hAnsi="Times New Roman" w:eastAsia="方正仿宋_GBK" w:cs="Times New Roman"/>
          <w:color w:val="000000" w:themeColor="text1"/>
          <w:kern w:val="2"/>
          <w:sz w:val="24"/>
          <w:szCs w:val="24"/>
          <w:lang w:val="en-US" w:eastAsia="zh-CN" w:bidi="ar-SA"/>
          <w14:textFill>
            <w14:solidFill>
              <w14:schemeClr w14:val="tx1"/>
            </w14:solidFill>
          </w14:textFill>
        </w:rPr>
        <w:t>（二）其他未尽事宜由供需双方在采购合同中详细约定</w:t>
      </w:r>
      <w:r>
        <w:rPr>
          <w:rFonts w:hint="eastAsia" w:ascii="方正仿宋_GBK" w:eastAsia="方正仿宋_GBK" w:cs="Times New Roman"/>
          <w:color w:val="000000" w:themeColor="text1"/>
          <w:kern w:val="2"/>
          <w:sz w:val="24"/>
          <w:szCs w:val="24"/>
          <w:lang w:val="en-US" w:eastAsia="zh-CN" w:bidi="ar-SA"/>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DE24C"/>
    <w:multiLevelType w:val="singleLevel"/>
    <w:tmpl w:val="6DBDE24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zY3NzRlNzBhNDg1NmJhYWMwY2ZhNzVhNzY4MTUifQ=="/>
  </w:docVars>
  <w:rsids>
    <w:rsidRoot w:val="74D92F27"/>
    <w:rsid w:val="74D92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hint="default" w:ascii="宋体" w:hAnsi="Courier New"/>
      <w:szCs w:val="21"/>
    </w:rPr>
  </w:style>
  <w:style w:type="paragraph" w:styleId="5">
    <w:name w:val="Body Text Indent 2"/>
    <w:basedOn w:val="1"/>
    <w:qFormat/>
    <w:uiPriority w:val="0"/>
    <w:pPr>
      <w:snapToGrid w:val="0"/>
      <w:spacing w:line="560" w:lineRule="atLeast"/>
      <w:ind w:firstLine="540"/>
    </w:pPr>
  </w:style>
  <w:style w:type="paragraph" w:styleId="6">
    <w:name w:val="footer"/>
    <w:basedOn w:val="1"/>
    <w:qFormat/>
    <w:uiPriority w:val="0"/>
    <w:pPr>
      <w:tabs>
        <w:tab w:val="center" w:pos="4153"/>
        <w:tab w:val="right" w:pos="8306"/>
      </w:tabs>
      <w:snapToGrid w:val="0"/>
      <w:jc w:val="left"/>
    </w:pPr>
    <w:rPr>
      <w:sz w:val="18"/>
      <w:szCs w:val="18"/>
    </w:rPr>
  </w:style>
  <w:style w:type="paragraph" w:customStyle="1" w:styleId="9">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2024-06-12T08:57:00Z</dcterms:created>
  <dc:creator>颜颜</dc:creator>
  <cp:lastModifiedBy>颜颜</cp:lastModifiedBy>
  <dcterms:modified xsi:type="dcterms:W3CDTF">2024-06-12T09:03:52Z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8D0C86A7A5A14F849ACF99230B195F69_11</vt:lpwstr>
  </property>
</Properties>
</file>