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8988C">
      <w:pPr>
        <w:widowControl/>
        <w:jc w:val="center"/>
        <w:rPr>
          <w:rFonts w:eastAsia="方正小标宋_GBK"/>
          <w:bCs/>
          <w:kern w:val="0"/>
          <w:sz w:val="36"/>
          <w:szCs w:val="36"/>
        </w:rPr>
      </w:pPr>
      <w:r>
        <w:rPr>
          <w:rFonts w:hint="eastAsia" w:eastAsia="方正小标宋_GBK"/>
          <w:bCs/>
          <w:kern w:val="0"/>
          <w:sz w:val="36"/>
          <w:szCs w:val="36"/>
          <w:lang w:val="en-US" w:eastAsia="zh-CN"/>
        </w:rPr>
        <w:t>一、</w:t>
      </w:r>
      <w:r>
        <w:rPr>
          <w:rFonts w:eastAsia="方正小标宋_GBK"/>
          <w:bCs/>
          <w:kern w:val="0"/>
          <w:sz w:val="36"/>
          <w:szCs w:val="36"/>
        </w:rPr>
        <w:t>采购清单及预算（服务类）</w:t>
      </w:r>
    </w:p>
    <w:tbl>
      <w:tblPr>
        <w:tblStyle w:val="7"/>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6692"/>
        <w:gridCol w:w="1408"/>
        <w:gridCol w:w="1063"/>
        <w:gridCol w:w="1619"/>
      </w:tblGrid>
      <w:tr w14:paraId="10C1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3" w:type="dxa"/>
            <w:vAlign w:val="center"/>
          </w:tcPr>
          <w:p w14:paraId="31098EF3">
            <w:pPr>
              <w:widowControl/>
              <w:jc w:val="center"/>
              <w:rPr>
                <w:rFonts w:eastAsia="黑体"/>
                <w:kern w:val="0"/>
                <w:sz w:val="24"/>
              </w:rPr>
            </w:pPr>
            <w:r>
              <w:rPr>
                <w:rFonts w:eastAsia="黑体"/>
                <w:kern w:val="0"/>
                <w:sz w:val="24"/>
              </w:rPr>
              <w:t>序号</w:t>
            </w:r>
          </w:p>
        </w:tc>
        <w:tc>
          <w:tcPr>
            <w:tcW w:w="1969" w:type="dxa"/>
            <w:vAlign w:val="center"/>
          </w:tcPr>
          <w:p w14:paraId="3E09D829">
            <w:pPr>
              <w:widowControl/>
              <w:jc w:val="center"/>
              <w:rPr>
                <w:rFonts w:eastAsia="黑体"/>
                <w:kern w:val="0"/>
                <w:sz w:val="24"/>
              </w:rPr>
            </w:pPr>
            <w:r>
              <w:rPr>
                <w:rFonts w:eastAsia="黑体"/>
                <w:kern w:val="0"/>
                <w:sz w:val="24"/>
              </w:rPr>
              <w:t>服务名目</w:t>
            </w:r>
          </w:p>
        </w:tc>
        <w:tc>
          <w:tcPr>
            <w:tcW w:w="6692" w:type="dxa"/>
            <w:vAlign w:val="center"/>
          </w:tcPr>
          <w:p w14:paraId="326AC15E">
            <w:pPr>
              <w:widowControl/>
              <w:jc w:val="center"/>
              <w:rPr>
                <w:rFonts w:eastAsia="黑体"/>
                <w:kern w:val="0"/>
                <w:sz w:val="24"/>
              </w:rPr>
            </w:pPr>
            <w:r>
              <w:rPr>
                <w:rFonts w:eastAsia="黑体"/>
                <w:kern w:val="0"/>
                <w:sz w:val="24"/>
              </w:rPr>
              <w:t>服务内容</w:t>
            </w:r>
            <w:r>
              <w:rPr>
                <w:rFonts w:hint="eastAsia" w:eastAsia="黑体"/>
                <w:kern w:val="0"/>
                <w:sz w:val="24"/>
              </w:rPr>
              <w:t>和标准</w:t>
            </w:r>
          </w:p>
        </w:tc>
        <w:tc>
          <w:tcPr>
            <w:tcW w:w="1408" w:type="dxa"/>
            <w:vAlign w:val="center"/>
          </w:tcPr>
          <w:p w14:paraId="35B6445B">
            <w:pPr>
              <w:widowControl/>
              <w:jc w:val="center"/>
              <w:rPr>
                <w:rFonts w:eastAsia="黑体"/>
                <w:kern w:val="0"/>
                <w:sz w:val="24"/>
              </w:rPr>
            </w:pPr>
            <w:r>
              <w:rPr>
                <w:rFonts w:eastAsia="黑体"/>
                <w:kern w:val="0"/>
                <w:sz w:val="24"/>
              </w:rPr>
              <w:t>数量</w:t>
            </w:r>
            <w:r>
              <w:rPr>
                <w:rFonts w:hint="eastAsia" w:eastAsia="黑体"/>
                <w:kern w:val="0"/>
                <w:sz w:val="24"/>
              </w:rPr>
              <w:t>/单位</w:t>
            </w:r>
          </w:p>
        </w:tc>
        <w:tc>
          <w:tcPr>
            <w:tcW w:w="1063" w:type="dxa"/>
            <w:vAlign w:val="center"/>
          </w:tcPr>
          <w:p w14:paraId="394D2EF5">
            <w:pPr>
              <w:widowControl/>
              <w:jc w:val="center"/>
              <w:rPr>
                <w:rFonts w:eastAsia="黑体"/>
                <w:kern w:val="0"/>
                <w:sz w:val="24"/>
              </w:rPr>
            </w:pPr>
            <w:r>
              <w:rPr>
                <w:rFonts w:eastAsia="黑体"/>
                <w:kern w:val="0"/>
                <w:sz w:val="24"/>
              </w:rPr>
              <w:t>单价</w:t>
            </w:r>
          </w:p>
        </w:tc>
        <w:tc>
          <w:tcPr>
            <w:tcW w:w="1619" w:type="dxa"/>
            <w:vAlign w:val="center"/>
          </w:tcPr>
          <w:p w14:paraId="66C6AB4C">
            <w:pPr>
              <w:widowControl/>
              <w:jc w:val="center"/>
              <w:rPr>
                <w:rFonts w:eastAsia="黑体"/>
                <w:kern w:val="0"/>
                <w:sz w:val="24"/>
              </w:rPr>
            </w:pPr>
            <w:r>
              <w:rPr>
                <w:rFonts w:hint="eastAsia" w:eastAsia="黑体"/>
                <w:kern w:val="0"/>
                <w:sz w:val="24"/>
              </w:rPr>
              <w:t>合计</w:t>
            </w:r>
            <w:r>
              <w:rPr>
                <w:rFonts w:eastAsia="黑体"/>
                <w:kern w:val="0"/>
                <w:sz w:val="24"/>
              </w:rPr>
              <w:t>金额</w:t>
            </w:r>
            <w:r>
              <w:rPr>
                <w:rFonts w:hint="eastAsia" w:eastAsia="黑体"/>
                <w:kern w:val="0"/>
                <w:sz w:val="24"/>
              </w:rPr>
              <w:t>（</w:t>
            </w:r>
            <w:r>
              <w:rPr>
                <w:rFonts w:eastAsia="黑体"/>
                <w:kern w:val="0"/>
                <w:sz w:val="24"/>
              </w:rPr>
              <w:t>元）</w:t>
            </w:r>
          </w:p>
        </w:tc>
      </w:tr>
      <w:tr w14:paraId="3790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14:paraId="66E2752D">
            <w:pPr>
              <w:widowControl/>
              <w:jc w:val="center"/>
              <w:rPr>
                <w:rFonts w:eastAsia="黑体"/>
                <w:kern w:val="0"/>
                <w:sz w:val="24"/>
              </w:rPr>
            </w:pPr>
            <w:r>
              <w:rPr>
                <w:rFonts w:eastAsia="黑体"/>
                <w:kern w:val="0"/>
                <w:sz w:val="24"/>
              </w:rPr>
              <w:t>1</w:t>
            </w:r>
          </w:p>
        </w:tc>
        <w:tc>
          <w:tcPr>
            <w:tcW w:w="1969" w:type="dxa"/>
            <w:vAlign w:val="center"/>
          </w:tcPr>
          <w:p w14:paraId="56B267CA">
            <w:pPr>
              <w:widowControl/>
              <w:jc w:val="left"/>
              <w:rPr>
                <w:rFonts w:eastAsia="黑体"/>
                <w:kern w:val="0"/>
                <w:sz w:val="24"/>
              </w:rPr>
            </w:pPr>
            <w:r>
              <w:rPr>
                <w:rFonts w:hint="eastAsia"/>
              </w:rPr>
              <w:t>交通车运营管理系统</w:t>
            </w:r>
            <w:r>
              <w:t>　</w:t>
            </w:r>
          </w:p>
        </w:tc>
        <w:tc>
          <w:tcPr>
            <w:tcW w:w="6692" w:type="dxa"/>
            <w:vAlign w:val="center"/>
          </w:tcPr>
          <w:p w14:paraId="2E299C3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一、功能要求</w:t>
            </w:r>
          </w:p>
          <w:p w14:paraId="7F3D1C8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登录系统</w:t>
            </w:r>
          </w:p>
          <w:p w14:paraId="05DC186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 支持不同身份登录系统</w:t>
            </w:r>
          </w:p>
          <w:p w14:paraId="61F8587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系统应支持三种类型的用户：调度人员、管理员、教师和学生即乘客。当不同的用户使用各自的账号登录系统时系统自动选择不同的用户类型，建立链接，他们就会分别拥有不同的权限。以保证系统信息的安全性和有效性。</w:t>
            </w:r>
          </w:p>
          <w:p w14:paraId="4B6AD56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 修改密码</w:t>
            </w:r>
          </w:p>
          <w:p w14:paraId="2F4BE84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每个用户登录后，都可更改初始密码，以增强个人信息的安全性。</w:t>
            </w:r>
          </w:p>
          <w:p w14:paraId="557748A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 退出</w:t>
            </w:r>
          </w:p>
          <w:p w14:paraId="1097409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 xml:space="preserve"> 用户登录系统后单击退出，就可退出系统。</w:t>
            </w:r>
          </w:p>
          <w:p w14:paraId="5F284B9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基础信息管理：</w:t>
            </w:r>
          </w:p>
          <w:p w14:paraId="1C7B890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（1）车辆管理</w:t>
            </w:r>
          </w:p>
          <w:p w14:paraId="1193EDE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支持对所有车辆的信息录入系统，并及时更新、修改车辆的信息。</w:t>
            </w:r>
          </w:p>
          <w:p w14:paraId="5791417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（2）驾驶员信息管理</w:t>
            </w:r>
          </w:p>
          <w:p w14:paraId="43EADAB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 xml:space="preserve">支持对所有驾驶员信息进行录入，并及时更新、修改驾驶员的信息。  </w:t>
            </w:r>
          </w:p>
          <w:p w14:paraId="6D2FCC8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（3）师生信息管理</w:t>
            </w:r>
          </w:p>
          <w:p w14:paraId="6D8778F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支持对所有师生信息进行录入，并及时更新、修改师生的信息。</w:t>
            </w:r>
          </w:p>
          <w:p w14:paraId="6042B6F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（4）对车辆使用记录的查询。</w:t>
            </w:r>
          </w:p>
          <w:p w14:paraId="5B15987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调度中心作业</w:t>
            </w:r>
          </w:p>
          <w:p w14:paraId="27C823C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（1）审核统计预约信息</w:t>
            </w:r>
          </w:p>
          <w:p w14:paraId="00C145C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调度中心将对每一发车时刻的预约信息进行审核统计，若在此时间段内，预约人数超过车辆的准载人数，就发出调车指令来进行发车；对于集体包车，需审核是否满足包车条件，若满足，则安排车辆。</w:t>
            </w:r>
          </w:p>
          <w:p w14:paraId="6CCFE3A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（2）生成每日发车表</w:t>
            </w:r>
          </w:p>
          <w:p w14:paraId="6DF7DC2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处理流程：</w:t>
            </w:r>
          </w:p>
          <w:p w14:paraId="59C86DD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调度中心将根据数据库中的车辆信息、驾驶员信息进行适当安排，形成每日的发车表，即按照发车时刻表在每一具体规定发车时刻安排具体的车辆和驾驶人员。</w:t>
            </w:r>
          </w:p>
          <w:p w14:paraId="3335A72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（3）包车审核</w:t>
            </w:r>
          </w:p>
          <w:p w14:paraId="477B400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 xml:space="preserve"> 调度人员从数据库中查询包车申请，并对其按相关规定进行审核，符合要求的包车申请，对不合格的予以驳回。</w:t>
            </w:r>
          </w:p>
          <w:p w14:paraId="13A4123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（4）发车管理</w:t>
            </w:r>
          </w:p>
          <w:p w14:paraId="5744FEC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根据审核统计预约信息进行车辆调度。调度中心将根据某一时段的具体预约人数以及每日发车表来安排发车，若在规定下一发车时刻到来之前，预约人数达到车辆准载人数，就将下一发车时刻的车辆提前发出，满载后即可发车，这有可能打乱原有的发车秩序，但只要保持原有的车辆的发车顺序，则无较大影响 ；若达不到满载人数，则到规定发车时刻再发车。对于集体包车，根据审核包车信息安排具体车辆用于包车业务。</w:t>
            </w:r>
          </w:p>
          <w:p w14:paraId="6D12B96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预约管理模块</w:t>
            </w:r>
          </w:p>
          <w:p w14:paraId="1A9C83D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（1）个人乘车预约流程：</w:t>
            </w:r>
          </w:p>
          <w:p w14:paraId="092C04D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乘客通过登录预约系统进行预约当天班车的操作。在班车确认发车后，该班车的预约信息全部失效。</w:t>
            </w:r>
          </w:p>
          <w:p w14:paraId="00CDD46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（2）集体包车申请</w:t>
            </w:r>
          </w:p>
          <w:p w14:paraId="0C0C2F7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用户可以提前3-7天对车辆进行包车预约，填写包车申请，用户需要说明包车用途等信息。</w:t>
            </w:r>
          </w:p>
          <w:p w14:paraId="73F7496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（3）取消预约</w:t>
            </w:r>
          </w:p>
          <w:p w14:paraId="1C8C331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乘客在预约后相关班车后，在驾驶员确认发车前5分钟都可以取消预约并返还预约款，但不实际乘车又不及时取消预约的乘客，预约款不返还；对于集体包车，提前至少1天取消包车业务。</w:t>
            </w:r>
          </w:p>
          <w:p w14:paraId="4429246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p>
          <w:p w14:paraId="64D01A2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统计报表</w:t>
            </w:r>
          </w:p>
          <w:p w14:paraId="57E6B84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1）数据管理：支持ORACLE 、SYBASE、DB2、MYSQL、SQLSERVER等主流关系型数据库；支持国产数据库华为Gaussdb，华为Fusion Insight，华为云DWS，恒辉，人大金仓，南大通用，神舟通用，达梦，TiDB，星环，kyligence，瀚高，阿里云ADB，录信LSQL，OceanBase 等，并提供不少于10个产品的兼容认证证书。</w:t>
            </w:r>
          </w:p>
          <w:p w14:paraId="3DC3CBE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2）采用类excel设计器，设计器是独立客户端，无需借助第三方插件或环境即可运行，支持无限行无限列扩展，支持直接打开excel文件，能够兼容Excel的公式。</w:t>
            </w:r>
          </w:p>
          <w:p w14:paraId="5A70DC8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3）支持模板版本管理，支持对任意模板文件保存任意多个历史版本，并支持对从任意历史版本还原。</w:t>
            </w:r>
          </w:p>
          <w:p w14:paraId="7AB46B9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4）提供可视化参数面板，参数面板可灵活定义大小、显示位置（靠左、靠右、居中）、面板背景、是否隐藏等，支持采用拖拽式操作在参数面板上进行控件位置的布局。</w:t>
            </w:r>
          </w:p>
          <w:p w14:paraId="1E53223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5）支持通过参数对报表进行数据过滤，参数支持下拉框、文本框、按钮、日期、下拉树等多种控件类型。</w:t>
            </w:r>
          </w:p>
          <w:p w14:paraId="464D6DF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6）支持智能参数组合，根据用户使用习惯，推荐常用的参数组合，快速实现数据查询。</w:t>
            </w:r>
          </w:p>
          <w:p w14:paraId="1B19EF6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7）支持用户在进行数据可视化分析时，可自由进行鼠标点击拖拽式操作完成界面布局，同时页面缩放可自动实现组件宽高适应调整，不同分辨率以及缩放都可以获得很好的适应显示。</w:t>
            </w:r>
          </w:p>
          <w:p w14:paraId="37B4103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8）提供基于最新HTML5技术自主研发的动态图表，具有极其流畅的动画效果和高度自定义的展现设计，包括但不限于柱形图 、折线图、玫瑰饼图 、面积图、散点图、雷达图。</w:t>
            </w:r>
          </w:p>
          <w:p w14:paraId="022A358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p>
          <w:p w14:paraId="5EFA392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二、技术体系要求</w:t>
            </w:r>
          </w:p>
          <w:p w14:paraId="256383A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1、为保障采购方后期运维，系统需采用低代码开发平台作为基础架构；</w:t>
            </w:r>
          </w:p>
          <w:p w14:paraId="0CEAE99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2、系统整体采用B/S架构，以浏览器的方式登录；</w:t>
            </w:r>
          </w:p>
          <w:p w14:paraId="25B899A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3、系统需要符合国家及教育部颁发的各类标准，符合学校信息化建设标准与规范，符合学校信息化统一规划；</w:t>
            </w:r>
          </w:p>
          <w:p w14:paraId="6FA29E8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4、系统与数据库部署支持运行于Unix、Linux、windows等高安全性操作系统，系统无安全漏洞。数据安全性方面，数据访问应有严格的权限限制，重要数据的存储和传输应进行加密处理，支持SSL/TLS加密传输；</w:t>
            </w:r>
          </w:p>
          <w:p w14:paraId="6B20C2C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5、系统必须遵循主流的技术路线，系统架构开放，采用多层结构模式，支持IE、谷歌、360等主流浏览器；</w:t>
            </w:r>
          </w:p>
          <w:p w14:paraId="6F93C36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6、系统设计必须是构件化、模块化，做到灵活性好、可维护性高。可以保证大并发情况下的快速响应，系统支持水平和垂直的扩展，以保证将来系统的升级和扩充；</w:t>
            </w:r>
          </w:p>
          <w:p w14:paraId="4CA2F80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7、支持办公系统集成，支持信息发布审核，支持流程自定义，确保工作流程的灵活性、易扩展性；</w:t>
            </w:r>
          </w:p>
          <w:p w14:paraId="316DAD7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8、支持学校门户集成及信息公开相关数据集成展示；</w:t>
            </w:r>
          </w:p>
          <w:p w14:paraId="2D782D6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9、系统必须具有扩展性，具有高度的变化适应性，可以支持二次开发，对系统的各种界面展示包括一级目录、二级目录、展示内容等实现自定义变化；</w:t>
            </w:r>
          </w:p>
          <w:p w14:paraId="10ACCF4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10、支持自定义的分级审核机制；授权审核通过后，信息才能发出，不通过需要退回修改。系统自动记录发布和审核日志；</w:t>
            </w:r>
          </w:p>
          <w:p w14:paraId="4E5868B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11、系统采用关系型数据库，有利于数据检索和信息关联，如：SQLServer、Mysql、Oracle等。；</w:t>
            </w:r>
          </w:p>
          <w:p w14:paraId="4075D50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12、系统提供严格的权限管理（包括功能权限管理和数据访问权限管理），不得出现非授权的访问，并可通过简单的配置实现权限划分的调整。系统提供完善的审计功能及完整的审计日志，实现操作的追溯；</w:t>
            </w:r>
          </w:p>
          <w:p w14:paraId="3D6575B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p>
          <w:p w14:paraId="7C04800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三、安全要求</w:t>
            </w:r>
          </w:p>
          <w:p w14:paraId="135793D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 xml:space="preserve">1)支持提供用户名、密码等多认证组合的安全验证方式。 </w:t>
            </w:r>
          </w:p>
          <w:p w14:paraId="108B534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2)支持提供Kerberos、LDAP、Sentry等安全防护组件。</w:t>
            </w:r>
          </w:p>
          <w:p w14:paraId="2257D66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 xml:space="preserve">3)支持提供数据划分和隔离功能。 </w:t>
            </w:r>
          </w:p>
          <w:p w14:paraId="7356826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4)可以对数据库群组进行权限管理，并可以增加、删除、修改有权限的用户。</w:t>
            </w:r>
          </w:p>
          <w:p w14:paraId="5C645CC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可以对用户敏感字段进行数据脱敏加密。</w:t>
            </w:r>
          </w:p>
          <w:p w14:paraId="370E17E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宋体" w:eastAsia="方正仿宋_GBK" w:cs="Times New Roman"/>
                <w:sz w:val="24"/>
                <w:lang w:val="en-US" w:eastAsia="zh-CN"/>
              </w:rPr>
            </w:pPr>
          </w:p>
          <w:p w14:paraId="52BE9C5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四、系统服务要求</w:t>
            </w:r>
          </w:p>
          <w:p w14:paraId="2EB17D5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1、项目实施必须提供驻场支持，驻场人员项目期内不允许人员变更；</w:t>
            </w:r>
          </w:p>
          <w:p w14:paraId="0779E79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 xml:space="preserve">2、驻场人员应包括：项目经理、前端开发人员、后端开发人员以及测试人员；               </w:t>
            </w:r>
          </w:p>
          <w:p w14:paraId="78D8973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3、系统交付时，应提供系统源码，以便学校后期可以自行维护。</w:t>
            </w:r>
          </w:p>
          <w:p w14:paraId="20F816F7"/>
        </w:tc>
        <w:tc>
          <w:tcPr>
            <w:tcW w:w="1408" w:type="dxa"/>
            <w:vAlign w:val="center"/>
          </w:tcPr>
          <w:p w14:paraId="73047106">
            <w:pPr>
              <w:widowControl/>
              <w:jc w:val="center"/>
              <w:rPr>
                <w:rFonts w:eastAsia="黑体"/>
                <w:kern w:val="0"/>
                <w:sz w:val="24"/>
              </w:rPr>
            </w:pPr>
            <w:r>
              <w:rPr>
                <w:rFonts w:hint="eastAsia" w:eastAsia="黑体"/>
                <w:kern w:val="0"/>
                <w:sz w:val="24"/>
                <w:lang w:val="en-US" w:eastAsia="zh-CN"/>
              </w:rPr>
              <w:t>1/项</w:t>
            </w:r>
            <w:r>
              <w:rPr>
                <w:rFonts w:eastAsia="黑体"/>
                <w:kern w:val="0"/>
                <w:sz w:val="24"/>
              </w:rPr>
              <w:t>　</w:t>
            </w:r>
          </w:p>
        </w:tc>
        <w:tc>
          <w:tcPr>
            <w:tcW w:w="1063" w:type="dxa"/>
            <w:vAlign w:val="center"/>
          </w:tcPr>
          <w:p w14:paraId="001D333E">
            <w:pPr>
              <w:widowControl/>
              <w:jc w:val="center"/>
              <w:rPr>
                <w:rFonts w:eastAsia="黑体"/>
                <w:kern w:val="0"/>
                <w:sz w:val="24"/>
              </w:rPr>
            </w:pPr>
            <w:r>
              <w:rPr>
                <w:rFonts w:hint="eastAsia" w:eastAsia="黑体"/>
                <w:kern w:val="0"/>
                <w:sz w:val="24"/>
                <w:lang w:val="en-US" w:eastAsia="zh-CN"/>
              </w:rPr>
              <w:t>48500</w:t>
            </w:r>
            <w:r>
              <w:rPr>
                <w:rFonts w:eastAsia="黑体"/>
                <w:kern w:val="0"/>
                <w:sz w:val="24"/>
              </w:rPr>
              <w:t>　</w:t>
            </w:r>
          </w:p>
        </w:tc>
        <w:tc>
          <w:tcPr>
            <w:tcW w:w="1619" w:type="dxa"/>
            <w:vAlign w:val="center"/>
          </w:tcPr>
          <w:p w14:paraId="4DD74974">
            <w:pPr>
              <w:widowControl/>
              <w:jc w:val="center"/>
              <w:rPr>
                <w:rFonts w:eastAsia="黑体"/>
                <w:kern w:val="0"/>
                <w:sz w:val="24"/>
              </w:rPr>
            </w:pPr>
            <w:r>
              <w:rPr>
                <w:rFonts w:hint="eastAsia" w:eastAsia="黑体"/>
                <w:kern w:val="0"/>
                <w:sz w:val="24"/>
                <w:lang w:val="en-US" w:eastAsia="zh-CN"/>
              </w:rPr>
              <w:t>48500</w:t>
            </w:r>
            <w:r>
              <w:rPr>
                <w:rFonts w:eastAsia="黑体"/>
                <w:kern w:val="0"/>
                <w:sz w:val="24"/>
              </w:rPr>
              <w:t>　</w:t>
            </w:r>
          </w:p>
        </w:tc>
      </w:tr>
      <w:tr w14:paraId="777D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14:paraId="1021A561">
            <w:pPr>
              <w:widowControl/>
              <w:jc w:val="center"/>
              <w:rPr>
                <w:rFonts w:eastAsia="黑体"/>
                <w:kern w:val="0"/>
                <w:sz w:val="24"/>
              </w:rPr>
            </w:pPr>
            <w:r>
              <w:rPr>
                <w:rFonts w:eastAsia="黑体"/>
                <w:kern w:val="0"/>
                <w:sz w:val="24"/>
              </w:rPr>
              <w:t>合计</w:t>
            </w:r>
          </w:p>
        </w:tc>
        <w:tc>
          <w:tcPr>
            <w:tcW w:w="8661" w:type="dxa"/>
            <w:gridSpan w:val="2"/>
            <w:vAlign w:val="center"/>
          </w:tcPr>
          <w:p w14:paraId="49A4967E">
            <w:pPr>
              <w:widowControl/>
              <w:jc w:val="left"/>
              <w:rPr>
                <w:rFonts w:hint="eastAsia" w:eastAsia="黑体"/>
                <w:kern w:val="0"/>
                <w:sz w:val="24"/>
                <w:lang w:val="en-US" w:eastAsia="zh-CN"/>
              </w:rPr>
            </w:pPr>
            <w:r>
              <w:rPr>
                <w:rFonts w:eastAsia="黑体"/>
                <w:kern w:val="0"/>
                <w:sz w:val="24"/>
              </w:rPr>
              <w:t>人民币大写：肆万捌仟伍佰元整</w:t>
            </w:r>
          </w:p>
        </w:tc>
        <w:tc>
          <w:tcPr>
            <w:tcW w:w="1408" w:type="dxa"/>
            <w:vAlign w:val="center"/>
          </w:tcPr>
          <w:p w14:paraId="348E6D36">
            <w:pPr>
              <w:widowControl/>
              <w:jc w:val="left"/>
              <w:rPr>
                <w:rFonts w:eastAsia="黑体"/>
                <w:kern w:val="0"/>
                <w:sz w:val="24"/>
              </w:rPr>
            </w:pPr>
          </w:p>
        </w:tc>
        <w:tc>
          <w:tcPr>
            <w:tcW w:w="1063" w:type="dxa"/>
            <w:vAlign w:val="center"/>
          </w:tcPr>
          <w:p w14:paraId="33EAFCBE">
            <w:pPr>
              <w:widowControl/>
              <w:jc w:val="left"/>
              <w:rPr>
                <w:rFonts w:eastAsia="黑体"/>
                <w:kern w:val="0"/>
                <w:sz w:val="24"/>
              </w:rPr>
            </w:pPr>
          </w:p>
        </w:tc>
        <w:tc>
          <w:tcPr>
            <w:tcW w:w="1619" w:type="dxa"/>
            <w:vAlign w:val="center"/>
          </w:tcPr>
          <w:p w14:paraId="239F9A2E">
            <w:pPr>
              <w:widowControl/>
              <w:jc w:val="center"/>
              <w:rPr>
                <w:rFonts w:eastAsia="黑体"/>
                <w:kern w:val="0"/>
                <w:sz w:val="24"/>
              </w:rPr>
            </w:pPr>
            <w:r>
              <w:rPr>
                <w:rFonts w:eastAsia="黑体"/>
                <w:kern w:val="0"/>
                <w:sz w:val="24"/>
              </w:rPr>
              <w:t>　</w:t>
            </w:r>
          </w:p>
        </w:tc>
      </w:tr>
    </w:tbl>
    <w:p w14:paraId="01647DA5">
      <w:pPr>
        <w:widowControl/>
        <w:jc w:val="center"/>
        <w:rPr>
          <w:rFonts w:eastAsia="方正小标宋_GBK"/>
          <w:bCs/>
          <w:kern w:val="0"/>
          <w:sz w:val="36"/>
          <w:szCs w:val="36"/>
        </w:rPr>
      </w:pPr>
    </w:p>
    <w:p w14:paraId="29B0687B">
      <w:pPr>
        <w:widowControl/>
        <w:rPr>
          <w:rFonts w:eastAsia="方正小标宋_GBK"/>
          <w:bCs/>
          <w:kern w:val="0"/>
          <w:sz w:val="36"/>
          <w:szCs w:val="36"/>
        </w:rPr>
      </w:pPr>
    </w:p>
    <w:p w14:paraId="5FB867A6">
      <w:pPr>
        <w:rPr>
          <w:b/>
          <w:bCs/>
          <w:sz w:val="28"/>
          <w:szCs w:val="28"/>
        </w:rPr>
      </w:pPr>
    </w:p>
    <w:p w14:paraId="5934947B"/>
    <w:p w14:paraId="58E21412">
      <w:pPr>
        <w:widowControl/>
        <w:jc w:val="center"/>
        <w:rPr>
          <w:rFonts w:hint="eastAsia" w:eastAsia="方正小标宋_GBK"/>
          <w:bCs/>
          <w:kern w:val="0"/>
          <w:sz w:val="36"/>
          <w:szCs w:val="36"/>
        </w:rPr>
      </w:pPr>
    </w:p>
    <w:p w14:paraId="66905027">
      <w:pPr>
        <w:widowControl/>
        <w:jc w:val="center"/>
        <w:rPr>
          <w:rFonts w:hint="eastAsia" w:eastAsia="方正小标宋_GBK"/>
          <w:bCs/>
          <w:kern w:val="0"/>
          <w:sz w:val="36"/>
          <w:szCs w:val="36"/>
        </w:rPr>
      </w:pPr>
    </w:p>
    <w:p w14:paraId="10F56C91">
      <w:pPr>
        <w:widowControl/>
        <w:jc w:val="center"/>
        <w:rPr>
          <w:rFonts w:hint="eastAsia" w:eastAsia="方正小标宋_GBK"/>
          <w:bCs/>
          <w:kern w:val="0"/>
          <w:sz w:val="36"/>
          <w:szCs w:val="36"/>
        </w:rPr>
      </w:pPr>
    </w:p>
    <w:p w14:paraId="4A7CF8AE">
      <w:pPr>
        <w:widowControl/>
        <w:jc w:val="center"/>
        <w:rPr>
          <w:rFonts w:hint="eastAsia" w:eastAsia="方正小标宋_GBK"/>
          <w:bCs/>
          <w:kern w:val="0"/>
          <w:sz w:val="36"/>
          <w:szCs w:val="36"/>
        </w:rPr>
      </w:pPr>
    </w:p>
    <w:p w14:paraId="335C2CBE">
      <w:pPr>
        <w:widowControl/>
        <w:jc w:val="center"/>
        <w:rPr>
          <w:rFonts w:hint="eastAsia" w:eastAsia="方正小标宋_GBK"/>
          <w:bCs/>
          <w:kern w:val="0"/>
          <w:sz w:val="36"/>
          <w:szCs w:val="36"/>
        </w:rPr>
      </w:pPr>
      <w:r>
        <w:rPr>
          <w:rFonts w:hint="eastAsia" w:eastAsia="方正小标宋_GBK"/>
          <w:bCs/>
          <w:kern w:val="0"/>
          <w:sz w:val="36"/>
          <w:szCs w:val="36"/>
        </w:rPr>
        <w:t>二、技术及服务要求</w:t>
      </w:r>
    </w:p>
    <w:p w14:paraId="6D7DADD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（一）运行环境</w:t>
      </w:r>
    </w:p>
    <w:p w14:paraId="68572FC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1、具有良好的跨平台支持，支持主流操作系统（Windows、Linux、AIX、mac等）的32和64位版本客户端。</w:t>
      </w:r>
    </w:p>
    <w:p w14:paraId="60715CC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2、服务器端支持Tomcat、WebLogic、WebSphere、JBoss、Resin等主流WEB中间件，支持国产中间件东方通，金蝶天燕V10.0，华宇TAS，宝兰德V9.5。</w:t>
      </w:r>
    </w:p>
    <w:p w14:paraId="3976E85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3、兼容IE（9-11）、chrome、edge、火狐、360等主流浏览器，且无需安装任何插件。</w:t>
      </w:r>
    </w:p>
    <w:p w14:paraId="2927272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4、运行环境支持国产化芯片，支持兆芯（X86）、飞腾（ARM）、海光芯片（X86）；</w:t>
      </w:r>
    </w:p>
    <w:p w14:paraId="5836695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5、支持国产化操作系统：银河麒麟  V4.0、中标麒麟 V7.0、普华 V4.0、统信UOS V20、中科方德V3.1/V4.0（海光版、兆芯版、AMD64版）；</w:t>
      </w:r>
    </w:p>
    <w:p w14:paraId="061A150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（二）数据管理</w:t>
      </w:r>
    </w:p>
    <w:p w14:paraId="4A27961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1、支持JDBC、ODBC、JNDI等数据连接方式。</w:t>
      </w:r>
    </w:p>
    <w:p w14:paraId="366E7BD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2、支持ORACLE 、SYBASE、DB2、MYSQL、SQLSERVER等主流关系型数据库；支持国产数据库华为Gaussdb，华为Fusion Insight，华为云DWS，恒辉，人大金仓，南大通用，神舟通用，达梦，TiDB，星环，kyligence，瀚高，阿里云ADB，录信LSQL，OceanBase 等。</w:t>
      </w:r>
    </w:p>
    <w:p w14:paraId="6993A85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3、支持从excel、TXT、xml等文件中取数进行报表分析。</w:t>
      </w:r>
    </w:p>
    <w:p w14:paraId="51AD1B5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4、支持内置数据集，数据直接內建在模板文件里，并支持JSON格式的接口数据源。</w:t>
      </w:r>
    </w:p>
    <w:p w14:paraId="4A99012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（三）系统对接要求</w:t>
      </w:r>
    </w:p>
    <w:p w14:paraId="3D701AB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1、对接数据中心，实现数据共享与交换；</w:t>
      </w:r>
    </w:p>
    <w:p w14:paraId="73361A1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2、对接企业微信，消息通知与企业微信实现互通，可以移动办公；</w:t>
      </w:r>
    </w:p>
    <w:p w14:paraId="6F51FCF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3、对接人事系统，实现自动同步学校组织机构、教职工信息。</w:t>
      </w:r>
    </w:p>
    <w:p w14:paraId="100B74B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（四）系统服务要求</w:t>
      </w:r>
    </w:p>
    <w:p w14:paraId="2E4B141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1、项目实施必须提供驻场支持，驻场人员项目期内不允许人员变更；</w:t>
      </w:r>
    </w:p>
    <w:p w14:paraId="27F5507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 xml:space="preserve">2、驻场开发人员应包括：项目经理、前端开发人员、后端开发人员以及测试人员；               </w:t>
      </w:r>
    </w:p>
    <w:p w14:paraId="22E9809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宋体" w:eastAsia="方正仿宋_GBK" w:cs="Times New Roman"/>
          <w:sz w:val="24"/>
          <w:lang w:val="en-US" w:eastAsia="zh-CN"/>
        </w:rPr>
        <w:sectPr>
          <w:pgSz w:w="16838" w:h="11906" w:orient="landscape"/>
          <w:pgMar w:top="1446" w:right="1985" w:bottom="1446" w:left="1644" w:header="851" w:footer="1247" w:gutter="0"/>
          <w:cols w:space="720" w:num="1"/>
          <w:docGrid w:linePitch="312" w:charSpace="0"/>
        </w:sectPr>
      </w:pPr>
      <w:r>
        <w:rPr>
          <w:rFonts w:hint="eastAsia" w:ascii="方正仿宋_GBK" w:hAnsi="宋体" w:eastAsia="方正仿宋_GBK" w:cs="Times New Roman"/>
          <w:sz w:val="24"/>
          <w:lang w:val="en-US" w:eastAsia="zh-CN"/>
        </w:rPr>
        <w:t>3、系统交付时，应提供系统源码，以便学校后期可以自行维护。</w:t>
      </w:r>
    </w:p>
    <w:p w14:paraId="798A5838">
      <w:pPr>
        <w:pStyle w:val="4"/>
        <w:shd w:val="clear" w:color="auto" w:fill="FFFFFF"/>
        <w:spacing w:line="360" w:lineRule="auto"/>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项目</w:t>
      </w:r>
      <w:r>
        <w:rPr>
          <w:rFonts w:hint="eastAsia" w:ascii="Times New Roman" w:hAnsi="Times New Roman" w:eastAsia="方正小标宋_GBK"/>
          <w:kern w:val="0"/>
          <w:sz w:val="36"/>
          <w:szCs w:val="36"/>
          <w:lang w:eastAsia="zh-CN"/>
        </w:rPr>
        <w:t>服务</w:t>
      </w:r>
      <w:r>
        <w:rPr>
          <w:rFonts w:hint="eastAsia" w:ascii="Times New Roman" w:hAnsi="Times New Roman" w:eastAsia="方正小标宋_GBK"/>
          <w:kern w:val="0"/>
          <w:sz w:val="36"/>
          <w:szCs w:val="36"/>
        </w:rPr>
        <w:t>需求方案</w:t>
      </w:r>
    </w:p>
    <w:p w14:paraId="547A081A">
      <w:pPr>
        <w:pStyle w:val="2"/>
        <w:spacing w:before="0" w:after="0" w:line="440" w:lineRule="exact"/>
        <w:rPr>
          <w:rFonts w:ascii="方正仿宋_GBK" w:hAnsi="宋体" w:eastAsia="方正仿宋_GBK"/>
          <w:sz w:val="24"/>
        </w:rPr>
      </w:pPr>
      <w:r>
        <w:rPr>
          <w:rFonts w:hint="eastAsia" w:ascii="方正仿宋_GBK" w:hAnsi="宋体" w:eastAsia="方正仿宋_GBK"/>
          <w:sz w:val="24"/>
        </w:rPr>
        <w:t>一、交货/时间、地点及验收方式</w:t>
      </w:r>
    </w:p>
    <w:p w14:paraId="70CEF93D">
      <w:pPr>
        <w:pStyle w:val="5"/>
        <w:spacing w:line="400" w:lineRule="exact"/>
        <w:ind w:firstLine="360" w:firstLineChars="150"/>
        <w:rPr>
          <w:rFonts w:ascii="方正仿宋_GBK" w:hAnsi="宋体" w:eastAsia="方正仿宋_GBK"/>
          <w:sz w:val="24"/>
        </w:rPr>
      </w:pPr>
      <w:r>
        <w:rPr>
          <w:rFonts w:hint="eastAsia" w:ascii="方正仿宋_GBK" w:hAnsi="宋体" w:eastAsia="方正仿宋_GBK"/>
          <w:sz w:val="24"/>
        </w:rPr>
        <w:t>（一）交货时间</w:t>
      </w:r>
    </w:p>
    <w:p w14:paraId="40B16CE8">
      <w:pPr>
        <w:pStyle w:val="5"/>
        <w:spacing w:line="400" w:lineRule="exact"/>
        <w:ind w:firstLine="360" w:firstLineChars="150"/>
        <w:rPr>
          <w:rFonts w:hint="default" w:ascii="方正仿宋_GBK" w:hAnsi="宋体" w:eastAsia="方正仿宋_GBK"/>
          <w:sz w:val="24"/>
          <w:lang w:val="en-US" w:eastAsia="zh-CN"/>
        </w:rPr>
      </w:pPr>
      <w:r>
        <w:rPr>
          <w:rFonts w:hint="eastAsia" w:ascii="方正仿宋_GBK" w:hAnsi="宋体" w:eastAsia="方正仿宋_GBK" w:cs="Times New Roman"/>
          <w:kern w:val="2"/>
          <w:sz w:val="24"/>
          <w:lang w:val="en-US" w:eastAsia="zh-CN" w:bidi="ar-SA"/>
        </w:rPr>
        <w:t>签订合同后5个工作日内完成系统对接调试、试运行并交付使用。</w:t>
      </w:r>
    </w:p>
    <w:p w14:paraId="3299021B">
      <w:pPr>
        <w:pStyle w:val="5"/>
        <w:numPr>
          <w:ilvl w:val="0"/>
          <w:numId w:val="1"/>
        </w:numPr>
        <w:spacing w:line="400" w:lineRule="exact"/>
        <w:ind w:firstLine="360" w:firstLineChars="150"/>
        <w:rPr>
          <w:rFonts w:hint="eastAsia" w:ascii="方正仿宋_GBK" w:hAnsi="宋体" w:eastAsia="方正仿宋_GBK"/>
          <w:sz w:val="24"/>
        </w:rPr>
      </w:pPr>
      <w:r>
        <w:rPr>
          <w:rFonts w:hint="eastAsia" w:ascii="方正仿宋_GBK" w:hAnsi="宋体" w:eastAsia="方正仿宋_GBK"/>
          <w:sz w:val="24"/>
        </w:rPr>
        <w:t>交货地点</w:t>
      </w:r>
    </w:p>
    <w:p w14:paraId="62BD4D08">
      <w:pPr>
        <w:pStyle w:val="5"/>
        <w:spacing w:line="400" w:lineRule="exact"/>
        <w:ind w:firstLine="360" w:firstLineChars="150"/>
        <w:rPr>
          <w:rFonts w:hint="eastAsia" w:ascii="方正仿宋_GBK" w:hAnsi="宋体" w:eastAsia="方正仿宋_GBK" w:cs="Times New Roman"/>
          <w:kern w:val="2"/>
          <w:sz w:val="24"/>
          <w:lang w:val="en-US" w:eastAsia="zh-CN" w:bidi="ar-SA"/>
        </w:rPr>
      </w:pPr>
      <w:r>
        <w:rPr>
          <w:rFonts w:hint="eastAsia" w:ascii="方正仿宋_GBK" w:hAnsi="宋体" w:eastAsia="方正仿宋_GBK" w:cs="Times New Roman"/>
          <w:kern w:val="2"/>
          <w:sz w:val="24"/>
          <w:lang w:val="en-US" w:eastAsia="zh-CN" w:bidi="ar-SA"/>
        </w:rPr>
        <w:t>重庆城市管理职业学院指定。</w:t>
      </w:r>
    </w:p>
    <w:p w14:paraId="6E62E386">
      <w:pPr>
        <w:pStyle w:val="5"/>
        <w:numPr>
          <w:ilvl w:val="0"/>
          <w:numId w:val="2"/>
        </w:numPr>
        <w:spacing w:line="400" w:lineRule="exact"/>
        <w:ind w:firstLine="360" w:firstLineChars="150"/>
        <w:rPr>
          <w:rFonts w:hint="eastAsia" w:ascii="方正仿宋_GBK" w:hAnsi="宋体" w:eastAsia="方正仿宋_GBK"/>
          <w:sz w:val="24"/>
        </w:rPr>
      </w:pPr>
      <w:r>
        <w:rPr>
          <w:rFonts w:hint="eastAsia" w:ascii="方正仿宋_GBK" w:hAnsi="宋体" w:eastAsia="方正仿宋_GBK"/>
          <w:sz w:val="24"/>
        </w:rPr>
        <w:t>验收方式</w:t>
      </w:r>
    </w:p>
    <w:p w14:paraId="116065F9">
      <w:pPr>
        <w:adjustRightInd w:val="0"/>
        <w:snapToGrid w:val="0"/>
        <w:spacing w:line="520" w:lineRule="exact"/>
        <w:ind w:firstLine="480" w:firstLineChars="200"/>
        <w:jc w:val="left"/>
        <w:rPr>
          <w:rFonts w:hint="eastAsia" w:ascii="方正仿宋_GBK" w:hAnsi="宋体" w:eastAsia="方正仿宋_GBK" w:cs="Times New Roman"/>
          <w:color w:val="000000" w:themeColor="text1"/>
          <w:kern w:val="2"/>
          <w:sz w:val="24"/>
          <w:lang w:val="en-US" w:eastAsia="zh-CN" w:bidi="ar-SA"/>
          <w14:textFill>
            <w14:solidFill>
              <w14:schemeClr w14:val="tx1"/>
            </w14:solidFill>
          </w14:textFill>
        </w:rPr>
      </w:pPr>
      <w:r>
        <w:rPr>
          <w:rFonts w:hint="eastAsia" w:ascii="方正仿宋_GBK" w:hAnsi="宋体" w:eastAsia="方正仿宋_GBK" w:cs="Times New Roman"/>
          <w:kern w:val="2"/>
          <w:sz w:val="24"/>
          <w:lang w:val="en-US" w:eastAsia="zh-CN" w:bidi="ar-SA"/>
        </w:rPr>
        <w:t>采购人根据</w:t>
      </w:r>
      <w:r>
        <w:rPr>
          <w:rFonts w:hint="eastAsia" w:ascii="方正仿宋_GBK" w:hAnsi="宋体" w:eastAsia="方正仿宋_GBK" w:cs="Times New Roman"/>
          <w:color w:val="000000" w:themeColor="text1"/>
          <w:kern w:val="2"/>
          <w:sz w:val="24"/>
          <w:highlight w:val="none"/>
          <w:lang w:val="en-US" w:eastAsia="zh-CN" w:bidi="ar-SA"/>
          <w14:textFill>
            <w14:solidFill>
              <w14:schemeClr w14:val="tx1"/>
            </w14:solidFill>
          </w14:textFill>
        </w:rPr>
        <w:t>交通车运营管理</w:t>
      </w:r>
      <w:r>
        <w:rPr>
          <w:rFonts w:hint="eastAsia" w:ascii="方正仿宋_GBK" w:hAnsi="宋体" w:eastAsia="方正仿宋_GBK" w:cs="Times New Roman"/>
          <w:color w:val="000000" w:themeColor="text1"/>
          <w:kern w:val="2"/>
          <w:sz w:val="24"/>
          <w:lang w:val="en-US" w:eastAsia="zh-CN" w:bidi="ar-SA"/>
          <w14:textFill>
            <w14:solidFill>
              <w14:schemeClr w14:val="tx1"/>
            </w14:solidFill>
          </w14:textFill>
        </w:rPr>
        <w:t>系统要求及技术标准、服务商的响应文件及合同清单逐条进行验收。</w:t>
      </w:r>
    </w:p>
    <w:p w14:paraId="70697ADB">
      <w:pPr>
        <w:adjustRightInd w:val="0"/>
        <w:snapToGrid w:val="0"/>
        <w:spacing w:line="520" w:lineRule="exact"/>
        <w:ind w:firstLine="480" w:firstLineChars="200"/>
        <w:jc w:val="left"/>
        <w:rPr>
          <w:rFonts w:hint="eastAsia" w:ascii="方正仿宋_GBK" w:hAnsi="宋体" w:eastAsia="方正仿宋_GBK" w:cs="Times New Roman"/>
          <w:kern w:val="2"/>
          <w:sz w:val="24"/>
          <w:lang w:val="en-US" w:eastAsia="zh-CN" w:bidi="ar-SA"/>
        </w:rPr>
      </w:pPr>
      <w:r>
        <w:rPr>
          <w:rFonts w:hint="eastAsia" w:ascii="方正仿宋_GBK" w:hAnsi="宋体" w:eastAsia="方正仿宋_GBK" w:cs="Times New Roman"/>
          <w:color w:val="000000" w:themeColor="text1"/>
          <w:kern w:val="2"/>
          <w:sz w:val="24"/>
          <w:lang w:val="en-US" w:eastAsia="zh-CN" w:bidi="ar-SA"/>
          <w14:textFill>
            <w14:solidFill>
              <w14:schemeClr w14:val="tx1"/>
            </w14:solidFill>
          </w14:textFill>
        </w:rPr>
        <w:t>1.服务商自行组织人员</w:t>
      </w:r>
      <w:r>
        <w:rPr>
          <w:rFonts w:hint="eastAsia" w:ascii="方正仿宋_GBK" w:hAnsi="宋体" w:eastAsia="方正仿宋_GBK" w:cs="Times New Roman"/>
          <w:kern w:val="2"/>
          <w:sz w:val="24"/>
          <w:lang w:val="en-US" w:eastAsia="zh-CN" w:bidi="ar-SA"/>
        </w:rPr>
        <w:t>完成定向开发、对接调试后，邀请采购人验收，采购人应及时组织验收，如在收到验收通知书的20天内未组织验收，则视为验收自行通过。</w:t>
      </w:r>
    </w:p>
    <w:p w14:paraId="142E2E25">
      <w:pPr>
        <w:adjustRightInd w:val="0"/>
        <w:snapToGrid w:val="0"/>
        <w:spacing w:line="520" w:lineRule="exact"/>
        <w:ind w:firstLine="480" w:firstLineChars="200"/>
        <w:jc w:val="left"/>
        <w:rPr>
          <w:rFonts w:hint="eastAsia" w:ascii="方正仿宋_GBK" w:hAnsi="宋体" w:eastAsia="方正仿宋_GBK" w:cs="Times New Roman"/>
          <w:kern w:val="2"/>
          <w:sz w:val="24"/>
          <w:lang w:val="en-US" w:eastAsia="zh-CN" w:bidi="ar-SA"/>
        </w:rPr>
      </w:pPr>
      <w:r>
        <w:rPr>
          <w:rFonts w:hint="eastAsia" w:ascii="方正仿宋_GBK" w:hAnsi="宋体" w:eastAsia="方正仿宋_GBK" w:cs="Times New Roman"/>
          <w:kern w:val="2"/>
          <w:sz w:val="24"/>
          <w:lang w:val="en-US" w:eastAsia="zh-CN" w:bidi="ar-SA"/>
        </w:rPr>
        <w:t>2.如属于服务商原因致使项目未通过系统验收，服务商应排除故障，直至软件系统完全符合验收标准。</w:t>
      </w:r>
    </w:p>
    <w:p w14:paraId="4D59F0F1">
      <w:pPr>
        <w:pStyle w:val="2"/>
        <w:spacing w:before="0" w:after="0" w:line="440" w:lineRule="exact"/>
        <w:rPr>
          <w:rFonts w:ascii="方正仿宋_GBK" w:hAnsi="宋体" w:eastAsia="方正仿宋_GBK"/>
          <w:sz w:val="24"/>
        </w:rPr>
      </w:pPr>
      <w:r>
        <w:rPr>
          <w:rFonts w:hint="eastAsia" w:ascii="方正仿宋_GBK" w:hAnsi="宋体" w:eastAsia="方正仿宋_GBK"/>
          <w:sz w:val="24"/>
        </w:rPr>
        <w:t>二、质量保证及售后服务</w:t>
      </w:r>
    </w:p>
    <w:p w14:paraId="56B0BC57">
      <w:pPr>
        <w:spacing w:line="400" w:lineRule="exact"/>
        <w:ind w:firstLine="480" w:firstLineChars="200"/>
        <w:rPr>
          <w:rFonts w:hint="eastAsia" w:ascii="方正仿宋_GBK" w:hAnsi="宋体" w:eastAsia="方正仿宋_GBK" w:cs="Times New Roman"/>
          <w:sz w:val="24"/>
        </w:rPr>
      </w:pPr>
      <w:bookmarkStart w:id="0" w:name="_Toc15469"/>
      <w:r>
        <w:rPr>
          <w:rFonts w:hint="eastAsia" w:ascii="方正仿宋_GBK" w:hAnsi="宋体" w:eastAsia="方正仿宋_GBK" w:cs="Times New Roman"/>
          <w:sz w:val="24"/>
        </w:rPr>
        <w:t>（一）质量保证期：自验收合格之日起，服务商提供对本项目所有产品</w:t>
      </w:r>
      <w:r>
        <w:rPr>
          <w:rFonts w:hint="eastAsia" w:ascii="方正仿宋_GBK" w:hAnsi="宋体" w:eastAsia="方正仿宋_GBK" w:cs="Times New Roman"/>
          <w:color w:val="000000" w:themeColor="text1"/>
          <w:sz w:val="24"/>
          <w:highlight w:val="none"/>
          <w14:textFill>
            <w14:solidFill>
              <w14:schemeClr w14:val="tx1"/>
            </w14:solidFill>
          </w14:textFill>
        </w:rPr>
        <w:t>叁年</w:t>
      </w:r>
      <w:r>
        <w:rPr>
          <w:rFonts w:hint="eastAsia" w:ascii="方正仿宋_GBK" w:hAnsi="宋体" w:eastAsia="方正仿宋_GBK" w:cs="Times New Roman"/>
          <w:sz w:val="24"/>
        </w:rPr>
        <w:t>免费质保期，质保期内免费、及时提供对于所有软件平台升级的最新版本，并提供相应的安装、调试及运行维护。</w:t>
      </w:r>
    </w:p>
    <w:p w14:paraId="2BECF02F">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（二）售后服务内容</w:t>
      </w:r>
    </w:p>
    <w:p w14:paraId="5399F192">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服务商在质保期内应当为采购人提供以下技术支持服务：</w:t>
      </w:r>
    </w:p>
    <w:p w14:paraId="193D0AC7">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1.质量保证期内服务要求</w:t>
      </w:r>
    </w:p>
    <w:p w14:paraId="421F8C74">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1.1服务商须具备完善的长期技术支持和售后服务管理体系和服务队伍，为采购人提供全方位的技术支持工作。</w:t>
      </w:r>
    </w:p>
    <w:p w14:paraId="1B711A95">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1.2售后服务内容包括：</w:t>
      </w:r>
    </w:p>
    <w:p w14:paraId="0677E134">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1)定期维护：服务商在响应文件中须提出整体的定期维护计划，并协助完成维护计划。</w:t>
      </w:r>
    </w:p>
    <w:p w14:paraId="366AC663">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2)对采购人要求的不定期维护提出响应措施，并进行实施。</w:t>
      </w:r>
    </w:p>
    <w:p w14:paraId="4AF8693A">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3)对采购人提出的修改设计提出响应措施，并进行实施。</w:t>
      </w:r>
    </w:p>
    <w:p w14:paraId="4765B188">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4)实施系统维护或修改设计后，应在3周内提交有关技术文档。</w:t>
      </w:r>
    </w:p>
    <w:p w14:paraId="2BDE0474">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5)提供7×24小时的技术咨询服务及远程协助服务。</w:t>
      </w:r>
    </w:p>
    <w:p w14:paraId="4B302661">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6)协助制定备份计划，以及定期备份及检验数据备份的有效性。</w:t>
      </w:r>
    </w:p>
    <w:p w14:paraId="17385198">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7)提供7×24小时的故障服务受理。</w:t>
      </w:r>
    </w:p>
    <w:p w14:paraId="57AAE1B3">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8)系统版权归属采购人所有，服务商将提供对应的源码。</w:t>
      </w:r>
    </w:p>
    <w:p w14:paraId="2F33B0B6">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lang w:val="en-US" w:eastAsia="zh-CN"/>
        </w:rPr>
        <w:t>9</w:t>
      </w:r>
      <w:r>
        <w:rPr>
          <w:rFonts w:hint="eastAsia" w:ascii="方正仿宋_GBK" w:hAnsi="宋体" w:eastAsia="方正仿宋_GBK" w:cs="Times New Roman"/>
          <w:sz w:val="24"/>
        </w:rPr>
        <w:t>)提供系统升级服务内容，包括升级的具体版本、功能改进、bug修复等。</w:t>
      </w:r>
    </w:p>
    <w:p w14:paraId="77EBDF92">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2.质保期外服务要求</w:t>
      </w:r>
    </w:p>
    <w:p w14:paraId="1C9E74F6">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2.1质量保证期过后，成交</w:t>
      </w:r>
      <w:r>
        <w:rPr>
          <w:rFonts w:hint="eastAsia" w:ascii="方正仿宋_GBK" w:hAnsi="宋体" w:eastAsia="方正仿宋_GBK" w:cs="Times New Roman"/>
          <w:sz w:val="24"/>
          <w:lang w:eastAsia="zh-CN"/>
        </w:rPr>
        <w:t>供应商</w:t>
      </w:r>
      <w:r>
        <w:rPr>
          <w:rFonts w:hint="eastAsia" w:ascii="方正仿宋_GBK" w:hAnsi="宋体" w:eastAsia="方正仿宋_GBK" w:cs="Times New Roman"/>
          <w:sz w:val="24"/>
        </w:rPr>
        <w:t>应同样提供免费电话咨询服务，并应承诺提供上门维护服务。</w:t>
      </w:r>
    </w:p>
    <w:p w14:paraId="2ECAC404">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2.2质量保证期过后，</w:t>
      </w:r>
      <w:r>
        <w:rPr>
          <w:rFonts w:hint="eastAsia" w:ascii="方正仿宋_GBK" w:hAnsi="宋体" w:eastAsia="方正仿宋_GBK" w:cs="Times New Roman"/>
          <w:sz w:val="24"/>
          <w:lang w:eastAsia="zh-CN"/>
        </w:rPr>
        <w:t>采购方</w:t>
      </w:r>
      <w:r>
        <w:rPr>
          <w:rFonts w:hint="eastAsia" w:ascii="方正仿宋_GBK" w:hAnsi="宋体" w:eastAsia="方正仿宋_GBK" w:cs="Times New Roman"/>
          <w:sz w:val="24"/>
        </w:rPr>
        <w:t>需要继续由原成交</w:t>
      </w:r>
      <w:r>
        <w:rPr>
          <w:rFonts w:hint="eastAsia" w:ascii="方正仿宋_GBK" w:hAnsi="宋体" w:eastAsia="方正仿宋_GBK" w:cs="Times New Roman"/>
          <w:sz w:val="24"/>
          <w:lang w:eastAsia="zh-CN"/>
        </w:rPr>
        <w:t>供应商</w:t>
      </w:r>
      <w:r>
        <w:rPr>
          <w:rFonts w:hint="eastAsia" w:ascii="方正仿宋_GBK" w:hAnsi="宋体" w:eastAsia="方正仿宋_GBK" w:cs="Times New Roman"/>
          <w:sz w:val="24"/>
        </w:rPr>
        <w:t>提供售后服务的，成交</w:t>
      </w:r>
      <w:r>
        <w:rPr>
          <w:rFonts w:hint="eastAsia" w:ascii="方正仿宋_GBK" w:hAnsi="宋体" w:eastAsia="方正仿宋_GBK" w:cs="Times New Roman"/>
          <w:sz w:val="24"/>
          <w:lang w:eastAsia="zh-CN"/>
        </w:rPr>
        <w:t>供应商</w:t>
      </w:r>
      <w:r>
        <w:rPr>
          <w:rFonts w:hint="eastAsia" w:ascii="方正仿宋_GBK" w:hAnsi="宋体" w:eastAsia="方正仿宋_GBK" w:cs="Times New Roman"/>
          <w:sz w:val="24"/>
        </w:rPr>
        <w:t>应以优惠价格提供售后服务。</w:t>
      </w:r>
    </w:p>
    <w:p w14:paraId="2668F947">
      <w:pPr>
        <w:spacing w:line="400" w:lineRule="exact"/>
        <w:ind w:firstLine="480" w:firstLineChars="200"/>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2.3 驻场服务。三年服务期，</w:t>
      </w:r>
      <w:r>
        <w:rPr>
          <w:rFonts w:hint="eastAsia" w:ascii="方正仿宋_GBK" w:hAnsi="宋体" w:eastAsia="方正仿宋_GBK" w:cs="Times New Roman"/>
          <w:sz w:val="24"/>
          <w:lang w:eastAsia="zh-CN"/>
        </w:rPr>
        <w:t>供应商</w:t>
      </w:r>
      <w:r>
        <w:rPr>
          <w:rFonts w:hint="eastAsia" w:ascii="方正仿宋_GBK" w:hAnsi="宋体" w:eastAsia="方正仿宋_GBK" w:cs="Times New Roman"/>
          <w:sz w:val="24"/>
          <w:lang w:val="en-US" w:eastAsia="zh-CN"/>
        </w:rPr>
        <w:t>应安排一名驻场人员，进行现场服务</w:t>
      </w:r>
    </w:p>
    <w:p w14:paraId="39015F55">
      <w:pPr>
        <w:spacing w:line="400" w:lineRule="exact"/>
        <w:ind w:firstLine="480" w:firstLineChars="200"/>
        <w:rPr>
          <w:rFonts w:hint="eastAsia" w:ascii="方正仿宋_GBK" w:hAnsi="宋体" w:eastAsia="方正仿宋_GBK" w:cs="Times New Roman"/>
          <w:sz w:val="24"/>
          <w:highlight w:val="none"/>
        </w:rPr>
      </w:pPr>
      <w:r>
        <w:rPr>
          <w:rFonts w:hint="eastAsia" w:ascii="方正仿宋_GBK" w:hAnsi="宋体" w:eastAsia="方正仿宋_GBK" w:cs="Times New Roman"/>
          <w:sz w:val="24"/>
        </w:rPr>
        <w:t>(三）</w:t>
      </w:r>
      <w:r>
        <w:rPr>
          <w:rFonts w:hint="eastAsia" w:ascii="方正仿宋_GBK" w:hAnsi="宋体" w:eastAsia="方正仿宋_GBK" w:cs="Times New Roman"/>
          <w:sz w:val="24"/>
          <w:highlight w:val="none"/>
        </w:rPr>
        <w:t>违约</w:t>
      </w:r>
      <w:r>
        <w:rPr>
          <w:rFonts w:hint="eastAsia" w:ascii="方正仿宋_GBK" w:hAnsi="宋体" w:eastAsia="方正仿宋_GBK" w:cs="Times New Roman"/>
          <w:sz w:val="24"/>
          <w:highlight w:val="none"/>
          <w:lang w:val="en-US" w:eastAsia="zh-CN"/>
        </w:rPr>
        <w:t>赔偿</w:t>
      </w:r>
      <w:r>
        <w:rPr>
          <w:rFonts w:hint="eastAsia" w:ascii="方正仿宋_GBK" w:hAnsi="宋体" w:eastAsia="方正仿宋_GBK" w:cs="Times New Roman"/>
          <w:sz w:val="24"/>
          <w:highlight w:val="none"/>
        </w:rPr>
        <w:t>条款</w:t>
      </w:r>
    </w:p>
    <w:p w14:paraId="64FB5C7B">
      <w:pPr>
        <w:spacing w:line="400" w:lineRule="exact"/>
        <w:ind w:firstLine="480" w:firstLineChars="200"/>
        <w:rPr>
          <w:rFonts w:hint="eastAsia" w:ascii="方正仿宋_GBK" w:hAnsi="宋体" w:eastAsia="方正仿宋_GBK" w:cs="Times New Roman"/>
          <w:sz w:val="24"/>
          <w:highlight w:val="none"/>
          <w:lang w:val="en-US" w:eastAsia="zh-CN"/>
        </w:rPr>
      </w:pPr>
      <w:r>
        <w:rPr>
          <w:rFonts w:hint="default" w:ascii="方正仿宋_GBK" w:hAnsi="宋体" w:eastAsia="方正仿宋_GBK" w:cs="Times New Roman"/>
          <w:sz w:val="24"/>
          <w:highlight w:val="none"/>
          <w:lang w:val="en-US" w:eastAsia="zh-CN"/>
        </w:rPr>
        <w:t>3.1</w:t>
      </w:r>
      <w:r>
        <w:rPr>
          <w:rFonts w:hint="eastAsia" w:ascii="方正仿宋_GBK" w:hAnsi="宋体" w:eastAsia="方正仿宋_GBK" w:cs="Times New Roman"/>
          <w:sz w:val="24"/>
          <w:highlight w:val="none"/>
          <w:lang w:val="en-US" w:eastAsia="zh-CN"/>
        </w:rPr>
        <w:t xml:space="preserve"> 如供应商服务未满3年，服务期每差一月供应商应赔付合同金额5%给采购方。</w:t>
      </w:r>
    </w:p>
    <w:p w14:paraId="0ABA1EA3">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3.2 供应商在3年服务期内若出现系统维护和售后服务等问题的，必须承担相应的赔偿责任，供应商应赔付合同金额20%给采购方。</w:t>
      </w:r>
    </w:p>
    <w:p w14:paraId="1483013C">
      <w:pPr>
        <w:pStyle w:val="3"/>
        <w:adjustRightInd w:val="0"/>
        <w:snapToGrid w:val="0"/>
        <w:spacing w:before="0" w:after="0" w:line="400" w:lineRule="exact"/>
        <w:rPr>
          <w:rFonts w:ascii="方正仿宋_GBK" w:hAnsi="Arial" w:eastAsia="方正仿宋_GBK" w:cs="Times New Roman"/>
          <w:b/>
          <w:sz w:val="24"/>
          <w:szCs w:val="24"/>
        </w:rPr>
      </w:pPr>
      <w:r>
        <w:rPr>
          <w:rFonts w:hint="eastAsia" w:ascii="方正仿宋_GBK" w:hAnsi="Arial" w:eastAsia="方正仿宋_GBK" w:cs="Times New Roman"/>
          <w:b/>
          <w:sz w:val="24"/>
          <w:szCs w:val="24"/>
        </w:rPr>
        <w:t>三、报价要求</w:t>
      </w:r>
      <w:bookmarkEnd w:id="0"/>
    </w:p>
    <w:p w14:paraId="3B0D06F1">
      <w:pPr>
        <w:spacing w:line="400" w:lineRule="exact"/>
        <w:ind w:firstLine="480" w:firstLineChars="200"/>
        <w:rPr>
          <w:rFonts w:hint="eastAsia" w:ascii="方正仿宋_GBK" w:hAnsi="宋体" w:eastAsia="方正仿宋_GBK" w:cs="Times New Roman"/>
          <w:sz w:val="24"/>
        </w:rPr>
      </w:pPr>
      <w:bookmarkStart w:id="1" w:name="_Toc75793512"/>
      <w:bookmarkStart w:id="2" w:name="_Toc267320051"/>
      <w:bookmarkStart w:id="3" w:name="_Toc16490"/>
      <w:r>
        <w:rPr>
          <w:rFonts w:hint="eastAsia" w:ascii="方正仿宋_GBK" w:hAnsi="宋体" w:eastAsia="方正仿宋_GBK" w:cs="Times New Roman"/>
          <w:sz w:val="24"/>
        </w:rPr>
        <w:t>1.报价须为人民币报价，包括完成本项目所需的系统的整合、定向开发、安装调试、上线运行、质保及质保期内的腾讯平台收费、人工、安全及各种应纳的税费。因服务商自身原因造成漏报、少报皆由其自行承担责任，采购人不再补偿。</w:t>
      </w:r>
    </w:p>
    <w:p w14:paraId="3D791D8F">
      <w:pPr>
        <w:spacing w:line="400" w:lineRule="exact"/>
        <w:ind w:firstLine="480" w:firstLineChars="200"/>
        <w:rPr>
          <w:rFonts w:hint="eastAsia" w:ascii="方正仿宋_GBK" w:hAnsi="宋体" w:eastAsia="方正仿宋_GBK" w:cs="Times New Roman"/>
          <w:sz w:val="24"/>
        </w:rPr>
      </w:pPr>
      <w:r>
        <w:rPr>
          <w:rFonts w:hint="eastAsia" w:ascii="方正仿宋_GBK" w:hAnsi="宋体" w:eastAsia="方正仿宋_GBK" w:cs="Times New Roman"/>
          <w:sz w:val="24"/>
        </w:rPr>
        <w:t>2.本项目最高限价为</w:t>
      </w:r>
      <w:r>
        <w:rPr>
          <w:rFonts w:hint="eastAsia" w:ascii="方正仿宋_GBK" w:hAnsi="宋体" w:eastAsia="方正仿宋_GBK" w:cs="Times New Roman"/>
          <w:sz w:val="24"/>
          <w:highlight w:val="none"/>
          <w:lang w:val="en-US" w:eastAsia="zh-CN"/>
        </w:rPr>
        <w:t>48500</w:t>
      </w:r>
      <w:r>
        <w:rPr>
          <w:rFonts w:hint="eastAsia" w:ascii="方正仿宋_GBK" w:hAnsi="宋体" w:eastAsia="方正仿宋_GBK" w:cs="Times New Roman"/>
          <w:sz w:val="24"/>
          <w:highlight w:val="none"/>
        </w:rPr>
        <w:t>元</w:t>
      </w:r>
      <w:r>
        <w:rPr>
          <w:rFonts w:hint="eastAsia" w:ascii="方正仿宋_GBK" w:hAnsi="宋体" w:eastAsia="方正仿宋_GBK" w:cs="Times New Roman"/>
          <w:sz w:val="24"/>
        </w:rPr>
        <w:t>，超出最高限价的，为无效投标。</w:t>
      </w:r>
    </w:p>
    <w:p w14:paraId="643FC1D5">
      <w:pPr>
        <w:pStyle w:val="3"/>
        <w:adjustRightInd w:val="0"/>
        <w:snapToGrid w:val="0"/>
        <w:spacing w:before="0" w:after="0" w:line="400" w:lineRule="exact"/>
        <w:rPr>
          <w:rFonts w:ascii="方正仿宋_GBK" w:eastAsia="方正仿宋_GBK"/>
          <w:sz w:val="24"/>
          <w:szCs w:val="24"/>
        </w:rPr>
      </w:pPr>
      <w:r>
        <w:rPr>
          <w:rFonts w:ascii="方正仿宋_GBK" w:eastAsia="方正仿宋_GBK"/>
          <w:sz w:val="24"/>
          <w:szCs w:val="24"/>
        </w:rPr>
        <w:t>四、付款方式</w:t>
      </w:r>
      <w:bookmarkEnd w:id="1"/>
      <w:bookmarkEnd w:id="2"/>
      <w:bookmarkEnd w:id="3"/>
    </w:p>
    <w:p w14:paraId="1F5DF026">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1.成交服务商需在合同签订前向采购人缴纳合同金额的5%作为履约保证金，必须准确填写的内容为：履约保证金（项目号），履约保证金汇到以下账户：</w:t>
      </w:r>
    </w:p>
    <w:p w14:paraId="24718C67">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户名：重庆城市管理职业学院</w:t>
      </w:r>
    </w:p>
    <w:p w14:paraId="0B6C92F7">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开户行：中国建设银行重庆沙坪坝支行熙街分理处</w:t>
      </w:r>
    </w:p>
    <w:p w14:paraId="6CA7B8CE">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账号：50001056800052500187</w:t>
      </w:r>
    </w:p>
    <w:p w14:paraId="26DC0D3A">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2.付款时间：</w:t>
      </w:r>
    </w:p>
    <w:p w14:paraId="124354EB">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验收合格后，服务商向采购人提供增值税普通发票，采购人向服务商支付合同全款。</w:t>
      </w:r>
    </w:p>
    <w:p w14:paraId="6492B797">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3.履约保证金在项目验收之日起至质量保证期及免费维保期满，无质量、售后和其它违约问题，由服务商提出申请，经采购人使用部门签字盖章后在5个工作日内无息支付给服务商。</w:t>
      </w:r>
    </w:p>
    <w:p w14:paraId="5E01327F">
      <w:pPr>
        <w:pStyle w:val="3"/>
        <w:adjustRightInd w:val="0"/>
        <w:snapToGrid w:val="0"/>
        <w:spacing w:before="0" w:after="0" w:line="400" w:lineRule="exact"/>
        <w:rPr>
          <w:rFonts w:ascii="方正仿宋_GBK" w:hAnsi="Arial" w:eastAsia="方正仿宋_GBK" w:cs="Times New Roman"/>
          <w:b/>
          <w:sz w:val="24"/>
          <w:szCs w:val="24"/>
        </w:rPr>
      </w:pPr>
      <w:r>
        <w:rPr>
          <w:rFonts w:hint="eastAsia" w:ascii="方正仿宋_GBK" w:hAnsi="Arial" w:eastAsia="方正仿宋_GBK" w:cs="Times New Roman"/>
          <w:b/>
          <w:sz w:val="24"/>
          <w:szCs w:val="24"/>
        </w:rPr>
        <w:t>五、知识产权及保密要求</w:t>
      </w:r>
    </w:p>
    <w:p w14:paraId="35B1A095">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服务商应当保证其有关履行本合同的任何行为不会侵犯任何第三方的知识产权。本项目全部或任何部分的相关知识产权，包括相关权益，均归采购人所有。采购人将拥有本协议项目下所有成果的完整知识产权。如果第三方提出侵权指控，服务商应承担由此而引起的一切法律责任和费用。</w:t>
      </w:r>
    </w:p>
    <w:p w14:paraId="02CE0142">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注：（若涉及软件开发等服务类项目知识产权的，知识产权归采购人所有）。</w:t>
      </w:r>
    </w:p>
    <w:p w14:paraId="52022569">
      <w:pPr>
        <w:pStyle w:val="2"/>
        <w:spacing w:before="0" w:after="0" w:line="440" w:lineRule="exact"/>
        <w:rPr>
          <w:rFonts w:hint="eastAsia" w:ascii="方正仿宋_GBK" w:hAnsi="Arial" w:eastAsia="方正仿宋_GBK" w:cs="Times New Roman"/>
          <w:b/>
          <w:kern w:val="2"/>
          <w:sz w:val="24"/>
          <w:szCs w:val="24"/>
          <w:lang w:val="en-US" w:eastAsia="zh-CN" w:bidi="ar-SA"/>
        </w:rPr>
      </w:pPr>
      <w:bookmarkStart w:id="4" w:name="_Toc2434"/>
      <w:r>
        <w:rPr>
          <w:rFonts w:hint="eastAsia" w:ascii="方正仿宋_GBK" w:hAnsi="Arial" w:eastAsia="方正仿宋_GBK" w:cs="Times New Roman"/>
          <w:b/>
          <w:kern w:val="2"/>
          <w:sz w:val="24"/>
          <w:szCs w:val="24"/>
          <w:lang w:val="en-US" w:eastAsia="zh-CN" w:bidi="ar-SA"/>
        </w:rPr>
        <w:t>六、培训</w:t>
      </w:r>
      <w:bookmarkEnd w:id="4"/>
    </w:p>
    <w:p w14:paraId="07B861B7">
      <w:pPr>
        <w:snapToGrid w:val="0"/>
        <w:spacing w:line="400" w:lineRule="exact"/>
        <w:ind w:firstLine="540"/>
        <w:rPr>
          <w:rFonts w:hint="eastAsia"/>
          <w:lang w:val="en-US" w:eastAsia="zh-CN"/>
        </w:rPr>
      </w:pPr>
      <w:r>
        <w:rPr>
          <w:rFonts w:hint="eastAsia" w:ascii="方正仿宋_GBK" w:hAnsi="宋体" w:eastAsia="方正仿宋_GBK" w:cs="Times New Roman"/>
          <w:sz w:val="24"/>
          <w:highlight w:val="none"/>
          <w:lang w:val="en-US" w:eastAsia="zh-CN"/>
        </w:rPr>
        <w:t>成交供应商须提供对平台的操作培训，使相关使用人员能够正常使用平台相关功能。</w:t>
      </w:r>
    </w:p>
    <w:p w14:paraId="78403E4D">
      <w:pPr>
        <w:pStyle w:val="3"/>
        <w:adjustRightInd w:val="0"/>
        <w:snapToGrid w:val="0"/>
        <w:spacing w:before="0" w:after="0" w:line="400" w:lineRule="exact"/>
        <w:rPr>
          <w:rFonts w:hint="eastAsia" w:ascii="方正仿宋_GBK" w:hAnsi="Arial" w:eastAsia="方正仿宋_GBK" w:cs="Times New Roman"/>
          <w:b/>
          <w:sz w:val="24"/>
          <w:szCs w:val="24"/>
        </w:rPr>
      </w:pPr>
      <w:r>
        <w:rPr>
          <w:rFonts w:hint="eastAsia" w:ascii="方正仿宋_GBK" w:hAnsi="Arial" w:eastAsia="方正仿宋_GBK" w:cs="Times New Roman"/>
          <w:b/>
          <w:sz w:val="24"/>
          <w:szCs w:val="24"/>
          <w:lang w:eastAsia="zh-CN"/>
        </w:rPr>
        <w:t>七</w:t>
      </w:r>
      <w:r>
        <w:rPr>
          <w:rFonts w:hint="eastAsia" w:ascii="方正仿宋_GBK" w:hAnsi="Arial" w:eastAsia="方正仿宋_GBK" w:cs="Times New Roman"/>
          <w:b/>
          <w:sz w:val="24"/>
          <w:szCs w:val="24"/>
        </w:rPr>
        <w:t>、服务商资格要求</w:t>
      </w:r>
    </w:p>
    <w:p w14:paraId="117F6496">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参加报价的服务商须具备一下资格：</w:t>
      </w:r>
    </w:p>
    <w:p w14:paraId="42584884">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1.具有独立承担民事责任的能力 ：</w:t>
      </w:r>
    </w:p>
    <w:p w14:paraId="7385C53C">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2.具有良好的商业信誉和健全的财务会计制度；</w:t>
      </w:r>
    </w:p>
    <w:p w14:paraId="4C8BEA8C">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 xml:space="preserve">3.具有履行合同所必须的设备和专业技术能力； </w:t>
      </w:r>
    </w:p>
    <w:p w14:paraId="6C34027A">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4.近三年内参加政府采购活动以及经营活动无重大违法记录；</w:t>
      </w:r>
    </w:p>
    <w:p w14:paraId="0CF096A3">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5.参与采购项目的服务商须密封提供有鲜章的以下材料：</w:t>
      </w:r>
    </w:p>
    <w:p w14:paraId="0039FEBB">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5.1法人营业执照副本复印件盖鲜章（或未办理三证合一的营业执照、组织机构代码证、税务登记证复印件盖鲜章）。</w:t>
      </w:r>
    </w:p>
    <w:p w14:paraId="5BDD1905">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5.2法定代表人身份证明书。</w:t>
      </w:r>
    </w:p>
    <w:p w14:paraId="4A1E6B1E">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5.3法定代表人授权委托书（法人亲自参与分散采购的，则不需要授权委托书）。</w:t>
      </w:r>
    </w:p>
    <w:p w14:paraId="331CA272">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5.4诚信声明【含：良好的商业信誉、健全的财务会计制度、服务能力、安全责任（均由服务商全权承担，学校不承担任何经济和法律责任）等】。</w:t>
      </w:r>
    </w:p>
    <w:p w14:paraId="429C7F4F">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5.5重庆城市管理职业学院交通车运营管理系统建设方案、售后服务、培训等。</w:t>
      </w:r>
    </w:p>
    <w:p w14:paraId="7224EB33">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5.6重庆城市管理职业学院交通车运营管理系统分散采购报价函（不超过最高限价）。</w:t>
      </w:r>
    </w:p>
    <w:p w14:paraId="3D05A336">
      <w:pPr>
        <w:pStyle w:val="3"/>
        <w:adjustRightInd w:val="0"/>
        <w:snapToGrid w:val="0"/>
        <w:spacing w:before="0" w:after="0" w:line="400" w:lineRule="exact"/>
        <w:rPr>
          <w:rFonts w:hint="eastAsia" w:ascii="方正仿宋_GBK" w:hAnsi="Arial" w:eastAsia="方正仿宋_GBK" w:cs="Times New Roman"/>
          <w:b/>
          <w:sz w:val="24"/>
          <w:szCs w:val="24"/>
        </w:rPr>
      </w:pPr>
      <w:r>
        <w:rPr>
          <w:rFonts w:hint="eastAsia" w:ascii="方正仿宋_GBK" w:hAnsi="Arial" w:eastAsia="方正仿宋_GBK" w:cs="Times New Roman"/>
          <w:b/>
          <w:sz w:val="24"/>
          <w:szCs w:val="24"/>
          <w:lang w:eastAsia="zh-CN"/>
        </w:rPr>
        <w:t>八</w:t>
      </w:r>
      <w:r>
        <w:rPr>
          <w:rFonts w:hint="eastAsia" w:ascii="方正仿宋_GBK" w:hAnsi="Arial" w:eastAsia="方正仿宋_GBK" w:cs="Times New Roman"/>
          <w:b/>
          <w:sz w:val="24"/>
          <w:szCs w:val="24"/>
        </w:rPr>
        <w:t>、违约责任</w:t>
      </w:r>
    </w:p>
    <w:p w14:paraId="54CA0371">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（一）已签订了采购合同，项目处于实施过程中，服务商无法完成采购合同的，处以采购合同金额30%的罚款，履约保证金不予退还。</w:t>
      </w:r>
    </w:p>
    <w:p w14:paraId="28E91046">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（二）服务商成交后不能全面履行成交义务的（包括不能按时签订采购合同、转包分包、延期、技术指标达不到要求等），分别按下述情况进行处理：</w:t>
      </w:r>
    </w:p>
    <w:p w14:paraId="63639812">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1.服务商不能在规定时间内签订采购合同的，视服务商自动放弃成交，终止签订采购合同，已缴履约保证金不予退还；</w:t>
      </w:r>
    </w:p>
    <w:p w14:paraId="74469947">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2.非经采购人书面同意，将合同范围的货物分包给他人供应，视服务商违约，终止采购合同，由此造成的一切后果由成交服务商负责。影响项目建设并给采购人造成损失的，依法追究成交服务商法律责任。</w:t>
      </w:r>
    </w:p>
    <w:p w14:paraId="470FD71C">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3.因服务商原因，签订合同后不能按期供货、安装调试、验收合格的，每超过项目竣工（交货）时间一天，处以采购合同金额千分之一的违约金，以此累计。</w:t>
      </w:r>
    </w:p>
    <w:p w14:paraId="5A29B178">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（三）在质保期内，不能按照响应文件承诺或合同约定及其承诺提供售后服务的，每次处罚金2000元，罚金可直接在货物尾款中扣除，尾款不足抵扣罚金时，由中标服务商承担。</w:t>
      </w:r>
    </w:p>
    <w:p w14:paraId="7BB60B3E">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四）产品验收时技术指标达不到采购人要求的，处以采购合同金额10%的罚款，同时无条件更换产品或升级完善产品，确保达到技术指标要求。因更换产品或升级完善产品给采购人造成损失的，视情况处以采购合同金额15%的违约金。</w:t>
      </w:r>
    </w:p>
    <w:p w14:paraId="67A0E30B">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（五）其他违约责任按照《中华人民共和国民法典》（合同篇）、《中华人民共和国产品质量法》等相关条款执行。</w:t>
      </w:r>
    </w:p>
    <w:p w14:paraId="729B3271">
      <w:pPr>
        <w:pStyle w:val="3"/>
        <w:adjustRightInd w:val="0"/>
        <w:snapToGrid w:val="0"/>
        <w:spacing w:before="0" w:after="0" w:line="400" w:lineRule="exact"/>
        <w:rPr>
          <w:rFonts w:hint="eastAsia" w:ascii="方正仿宋_GBK" w:hAnsi="Arial" w:eastAsia="方正仿宋_GBK" w:cs="Times New Roman"/>
          <w:b/>
          <w:sz w:val="24"/>
          <w:szCs w:val="24"/>
          <w:lang w:val="en-US" w:eastAsia="zh-CN"/>
        </w:rPr>
      </w:pPr>
      <w:r>
        <w:rPr>
          <w:rFonts w:hint="eastAsia" w:ascii="方正仿宋_GBK" w:hAnsi="Arial" w:eastAsia="方正仿宋_GBK" w:cs="Times New Roman"/>
          <w:b/>
          <w:sz w:val="24"/>
          <w:szCs w:val="24"/>
          <w:lang w:val="en-US" w:eastAsia="zh-CN"/>
        </w:rPr>
        <w:t>九、其他</w:t>
      </w:r>
    </w:p>
    <w:p w14:paraId="5C2309FD">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（一）成交原则</w:t>
      </w:r>
    </w:p>
    <w:p w14:paraId="072CA4D2">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在符合本次采购要求、质量和服务的前提下，原则上报价最低的为成交服务商。如出现两个以上相同最低报价的，则以服务响应时间短的服务商为中标服务商；如果最低报价和服务响应时间都相同，则以先报价的服务商为中标服务商。</w:t>
      </w:r>
    </w:p>
    <w:p w14:paraId="48397E37">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（二）采购异议处理</w:t>
      </w:r>
    </w:p>
    <w:p w14:paraId="4522D91E">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1、参与服务商对采购文件中服务商特定资格条件、技术质量和商务要求、评审标准及评审细则有异议的，应开标前向采购人提出。</w:t>
      </w:r>
    </w:p>
    <w:p w14:paraId="7EF22C37">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2、服务商对成交结果或中标结果有异议的，应在开标现场提出，并附相关证明材料。</w:t>
      </w:r>
    </w:p>
    <w:p w14:paraId="271C405D">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3.对于服务商弄虚作假、恶意中标或中标后不履行服务承诺等不良行为，采购人有权取消其中标资格或扣除全部保证金。情节严重者，直接列入“违法失信行为名单”公开曝光。</w:t>
      </w:r>
    </w:p>
    <w:p w14:paraId="6F879234">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4.服务商必须在响应文件中对以上条款和服务作出承诺明。</w:t>
      </w:r>
    </w:p>
    <w:p w14:paraId="735595C1">
      <w:pPr>
        <w:spacing w:line="400" w:lineRule="exact"/>
        <w:ind w:firstLine="480" w:firstLineChars="200"/>
        <w:rPr>
          <w:rFonts w:hint="eastAsia" w:ascii="方正仿宋_GBK" w:hAnsi="宋体" w:eastAsia="方正仿宋_GBK" w:cs="Times New Roman"/>
          <w:sz w:val="24"/>
          <w:highlight w:val="none"/>
          <w:lang w:val="en-US" w:eastAsia="zh-CN"/>
        </w:rPr>
      </w:pPr>
      <w:r>
        <w:rPr>
          <w:rFonts w:hint="eastAsia" w:ascii="方正仿宋_GBK" w:hAnsi="宋体" w:eastAsia="方正仿宋_GBK" w:cs="Times New Roman"/>
          <w:sz w:val="24"/>
          <w:highlight w:val="none"/>
          <w:lang w:val="en-US" w:eastAsia="zh-CN"/>
        </w:rPr>
        <w:t>5.其他未尽事宜由供需双方在采购合同中详细约定。</w:t>
      </w:r>
    </w:p>
    <w:p w14:paraId="34DDCD65">
      <w:pPr>
        <w:pStyle w:val="6"/>
        <w:rPr>
          <w:rFonts w:ascii="仿宋" w:hAnsi="仿宋" w:eastAsia="仿宋"/>
          <w:sz w:val="28"/>
          <w:szCs w:val="28"/>
        </w:rPr>
      </w:pPr>
    </w:p>
    <w:p w14:paraId="735A440C">
      <w:pPr>
        <w:pStyle w:val="6"/>
        <w:rPr>
          <w:rFonts w:ascii="仿宋" w:hAnsi="仿宋" w:eastAsia="仿宋"/>
          <w:sz w:val="28"/>
          <w:szCs w:val="28"/>
        </w:rPr>
      </w:pPr>
    </w:p>
    <w:p w14:paraId="2270B71C">
      <w:pPr>
        <w:spacing w:line="400" w:lineRule="exact"/>
        <w:ind w:firstLine="480" w:firstLineChars="200"/>
        <w:rPr>
          <w:rFonts w:hint="eastAsia" w:ascii="方正仿宋_GBK" w:hAnsi="宋体" w:eastAsia="方正仿宋_GBK"/>
          <w:sz w:val="24"/>
          <w:lang w:val="en-US" w:eastAsia="zh-CN"/>
        </w:rPr>
      </w:pPr>
    </w:p>
    <w:p w14:paraId="200BAB58">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9B15E"/>
    <w:multiLevelType w:val="singleLevel"/>
    <w:tmpl w:val="C3C9B15E"/>
    <w:lvl w:ilvl="0" w:tentative="0">
      <w:start w:val="3"/>
      <w:numFmt w:val="chineseCounting"/>
      <w:suff w:val="nothing"/>
      <w:lvlText w:val="（%1）"/>
      <w:lvlJc w:val="left"/>
      <w:rPr>
        <w:rFonts w:hint="eastAsia"/>
      </w:rPr>
    </w:lvl>
  </w:abstractNum>
  <w:abstractNum w:abstractNumId="1">
    <w:nsid w:val="34115D99"/>
    <w:multiLevelType w:val="singleLevel"/>
    <w:tmpl w:val="34115D9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TJmZjQyNDg0ZTJkYmM3NmVjNjA4YmE2ZjFhNzIifQ=="/>
  </w:docVars>
  <w:rsids>
    <w:rsidRoot w:val="728039CD"/>
    <w:rsid w:val="7280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styleId="5">
    <w:name w:val="Body Text Indent 2"/>
    <w:basedOn w:val="1"/>
    <w:qFormat/>
    <w:uiPriority w:val="0"/>
    <w:pPr>
      <w:snapToGrid w:val="0"/>
      <w:spacing w:line="560" w:lineRule="atLeast"/>
      <w:ind w:firstLine="54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2024-10-17T00:59:00Z</dcterms:created>
  <dc:creator>Lieben</dc:creator>
  <cp:lastModifiedBy>Lieben</cp:lastModifiedBy>
  <dcterms:modified xsi:type="dcterms:W3CDTF">2024-10-17T01:00:17Z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C46E3787D5FF4C6C9340BFF7DBCD6147_11</vt:lpwstr>
  </property>
</Properties>
</file>