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eastAsia="方正仿宋_GBK"/>
          <w:color w:val="000000"/>
          <w:sz w:val="28"/>
          <w:szCs w:val="28"/>
        </w:rPr>
      </w:pPr>
      <w:r>
        <w:rPr>
          <w:rFonts w:hint="eastAsia" w:ascii="方正仿宋_GBK" w:eastAsia="方正仿宋_GBK"/>
          <w:color w:val="000000"/>
          <w:sz w:val="28"/>
          <w:szCs w:val="28"/>
        </w:rPr>
        <w:t>附件一</w:t>
      </w:r>
    </w:p>
    <w:p>
      <w:pPr>
        <w:adjustRightInd w:val="0"/>
        <w:snapToGrid w:val="0"/>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color w:val="000000"/>
          <w:sz w:val="36"/>
          <w:szCs w:val="36"/>
        </w:rPr>
        <w:t>重庆城市管理职业学院</w:t>
      </w:r>
    </w:p>
    <w:p>
      <w:pPr>
        <w:adjustRightInd w:val="0"/>
        <w:snapToGrid w:val="0"/>
        <w:spacing w:line="520" w:lineRule="exact"/>
        <w:jc w:val="center"/>
        <w:rPr>
          <w:rFonts w:ascii="方正小标宋_GBK" w:hAnsi="宋体" w:eastAsia="方正小标宋_GBK"/>
          <w:color w:val="000000"/>
          <w:sz w:val="36"/>
          <w:szCs w:val="36"/>
        </w:rPr>
      </w:pPr>
      <w:r>
        <w:rPr>
          <w:rFonts w:hint="eastAsia" w:ascii="方正小标宋_GBK" w:hAnsi="宋体" w:eastAsia="方正小标宋_GBK"/>
          <w:sz w:val="36"/>
          <w:szCs w:val="36"/>
        </w:rPr>
        <w:t>柴油发电机组维护保养服务外包项目要求及技术标准</w:t>
      </w:r>
    </w:p>
    <w:p>
      <w:pPr>
        <w:adjustRightInd w:val="0"/>
        <w:snapToGrid w:val="0"/>
        <w:spacing w:line="360" w:lineRule="auto"/>
        <w:jc w:val="left"/>
        <w:rPr>
          <w:rFonts w:ascii="宋体"/>
          <w:sz w:val="28"/>
          <w:szCs w:val="28"/>
        </w:rPr>
      </w:pP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一、项目简介</w:t>
      </w:r>
    </w:p>
    <w:p>
      <w:pPr>
        <w:widowControl/>
        <w:shd w:val="clear" w:color="auto" w:fill="FFFFFF"/>
        <w:adjustRightInd w:val="0"/>
        <w:snapToGrid w:val="0"/>
        <w:spacing w:line="500" w:lineRule="exact"/>
        <w:ind w:firstLine="560" w:firstLineChars="200"/>
        <w:rPr>
          <w:rFonts w:ascii="仿宋" w:hAnsi="仿宋" w:eastAsia="仿宋" w:cs="宋体"/>
          <w:kern w:val="0"/>
          <w:sz w:val="28"/>
          <w:szCs w:val="28"/>
        </w:rPr>
      </w:pPr>
      <w:r>
        <w:rPr>
          <w:rFonts w:hint="eastAsia" w:ascii="仿宋" w:hAnsi="仿宋" w:eastAsia="仿宋"/>
          <w:sz w:val="28"/>
          <w:szCs w:val="28"/>
        </w:rPr>
        <w:t>重庆城市管理职业学院位于重庆市高新区大学城南二路151号，现有柴油发电机组</w:t>
      </w:r>
      <w:r>
        <w:rPr>
          <w:rFonts w:hint="eastAsia" w:ascii="仿宋" w:hAnsi="仿宋" w:eastAsia="仿宋"/>
          <w:kern w:val="0"/>
          <w:sz w:val="28"/>
          <w:szCs w:val="28"/>
        </w:rPr>
        <w:t>（</w:t>
      </w:r>
      <w:r>
        <w:rPr>
          <w:rFonts w:hint="eastAsia" w:ascii="仿宋" w:hAnsi="仿宋" w:eastAsia="仿宋"/>
          <w:kern w:val="0"/>
          <w:sz w:val="28"/>
          <w:szCs w:val="28"/>
          <w:lang w:val="en-US" w:eastAsia="zh-CN"/>
        </w:rPr>
        <w:t>600</w:t>
      </w:r>
      <w:r>
        <w:rPr>
          <w:rFonts w:hint="eastAsia" w:ascii="仿宋" w:hAnsi="仿宋" w:eastAsia="仿宋"/>
          <w:kern w:val="0"/>
          <w:sz w:val="28"/>
          <w:szCs w:val="28"/>
        </w:rPr>
        <w:t>KW、</w:t>
      </w:r>
      <w:r>
        <w:rPr>
          <w:rFonts w:hint="eastAsia" w:ascii="仿宋" w:hAnsi="仿宋" w:eastAsia="仿宋"/>
          <w:kern w:val="0"/>
          <w:sz w:val="28"/>
          <w:szCs w:val="28"/>
          <w:lang w:val="en-US" w:eastAsia="zh-CN"/>
        </w:rPr>
        <w:t>750</w:t>
      </w:r>
      <w:r>
        <w:rPr>
          <w:rFonts w:hint="eastAsia" w:ascii="仿宋" w:hAnsi="仿宋" w:eastAsia="仿宋"/>
          <w:kern w:val="0"/>
          <w:sz w:val="28"/>
          <w:szCs w:val="28"/>
        </w:rPr>
        <w:t>KW各一套）维护保养服务外包。</w:t>
      </w:r>
      <w:r>
        <w:rPr>
          <w:rFonts w:hint="eastAsia" w:ascii="仿宋" w:hAnsi="仿宋" w:eastAsia="仿宋" w:cs="宋体"/>
          <w:kern w:val="0"/>
          <w:sz w:val="28"/>
          <w:szCs w:val="28"/>
        </w:rPr>
        <w:t xml:space="preserve">欢迎符合资格要求并有维护保养能力的服务商踊跃参加。 </w:t>
      </w:r>
    </w:p>
    <w:p>
      <w:pPr>
        <w:widowControl/>
        <w:shd w:val="clear" w:color="auto" w:fill="FFFFFF"/>
        <w:adjustRightInd w:val="0"/>
        <w:snapToGrid w:val="0"/>
        <w:spacing w:line="500" w:lineRule="exact"/>
        <w:ind w:firstLine="560" w:firstLineChars="200"/>
        <w:rPr>
          <w:rFonts w:ascii="方正黑体_GBK" w:hAnsi="仿宋" w:eastAsia="方正黑体_GBK"/>
          <w:sz w:val="28"/>
          <w:szCs w:val="28"/>
        </w:rPr>
      </w:pPr>
      <w:r>
        <w:rPr>
          <w:rFonts w:hint="eastAsia" w:ascii="方正黑体_GBK" w:hAnsi="仿宋" w:eastAsia="方正黑体_GBK"/>
          <w:sz w:val="28"/>
          <w:szCs w:val="28"/>
        </w:rPr>
        <w:t>二、柴油发电机组维护保养服务外包期限机服务地点</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sz w:val="28"/>
          <w:szCs w:val="28"/>
        </w:rPr>
        <w:t>1.柴油发电机组维护保养服务外包</w:t>
      </w:r>
      <w:r>
        <w:rPr>
          <w:rFonts w:hint="eastAsia" w:ascii="仿宋" w:hAnsi="仿宋" w:eastAsia="仿宋"/>
          <w:kern w:val="0"/>
          <w:sz w:val="28"/>
          <w:szCs w:val="28"/>
        </w:rPr>
        <w:t>服务期限为</w:t>
      </w:r>
      <w:r>
        <w:rPr>
          <w:rFonts w:hint="eastAsia" w:ascii="仿宋" w:hAnsi="仿宋" w:eastAsia="仿宋"/>
          <w:kern w:val="0"/>
          <w:sz w:val="28"/>
          <w:szCs w:val="28"/>
          <w:lang w:val="en-US" w:eastAsia="zh-CN"/>
        </w:rPr>
        <w:t>18个月</w:t>
      </w:r>
      <w:r>
        <w:rPr>
          <w:rFonts w:hint="eastAsia" w:ascii="仿宋" w:hAnsi="仿宋" w:eastAsia="仿宋"/>
          <w:kern w:val="0"/>
          <w:sz w:val="28"/>
          <w:szCs w:val="28"/>
        </w:rPr>
        <w:t>，具体根据招标进度，以服务合同为准。</w:t>
      </w:r>
    </w:p>
    <w:p>
      <w:pPr>
        <w:widowControl/>
        <w:shd w:val="clear" w:color="auto" w:fill="FFFFFF"/>
        <w:adjustRightInd w:val="0"/>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sz w:val="28"/>
          <w:szCs w:val="28"/>
        </w:rPr>
        <w:t>维护保养服务</w:t>
      </w:r>
      <w:r>
        <w:rPr>
          <w:rFonts w:hint="eastAsia" w:ascii="仿宋" w:hAnsi="仿宋" w:eastAsia="仿宋" w:cs="宋体"/>
          <w:kern w:val="0"/>
          <w:sz w:val="28"/>
          <w:szCs w:val="28"/>
        </w:rPr>
        <w:t>地点为重庆城市管理职业学院内。</w:t>
      </w: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三、柴油发电机组维护保养服务外包项目要求</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1.服务商每年为</w:t>
      </w:r>
      <w:r>
        <w:rPr>
          <w:rFonts w:hint="eastAsia" w:ascii="仿宋" w:hAnsi="仿宋" w:eastAsia="仿宋"/>
          <w:sz w:val="28"/>
          <w:szCs w:val="28"/>
        </w:rPr>
        <w:t>重庆城市管理职业学院柴油发电机组</w:t>
      </w:r>
      <w:r>
        <w:rPr>
          <w:rFonts w:hint="eastAsia" w:ascii="仿宋" w:hAnsi="仿宋" w:eastAsia="仿宋"/>
          <w:kern w:val="0"/>
          <w:sz w:val="28"/>
          <w:szCs w:val="28"/>
        </w:rPr>
        <w:t>提供4次巡检、2次维护保养、不限次数维修和抢修服务。</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2.为校方提供维护保养方面的技术咨询。</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3.服务商应为校方建立用户设备信息专用档案</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4.服务商应备足维修养护材料，以便及时解决柴油发电机的维护保养、维修和抢修工作，确保柴油发电机组正常运行。</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5.服务商须服从校方管理，遵守校方各项规章制度。</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6.服务商为校方提供巡检、保养、维修、抢修服务时须着工作服，佩戴工作证件。</w:t>
      </w:r>
    </w:p>
    <w:p>
      <w:pPr>
        <w:adjustRightInd w:val="0"/>
        <w:snapToGrid w:val="0"/>
        <w:spacing w:line="500" w:lineRule="exact"/>
        <w:ind w:firstLine="560" w:firstLineChars="200"/>
        <w:rPr>
          <w:rFonts w:ascii="仿宋" w:hAnsi="仿宋" w:eastAsia="仿宋"/>
          <w:sz w:val="28"/>
          <w:szCs w:val="28"/>
        </w:rPr>
      </w:pPr>
      <w:r>
        <w:rPr>
          <w:rFonts w:hint="eastAsia" w:ascii="仿宋" w:hAnsi="仿宋" w:eastAsia="仿宋"/>
          <w:kern w:val="0"/>
          <w:sz w:val="28"/>
          <w:szCs w:val="28"/>
        </w:rPr>
        <w:t>7.</w:t>
      </w:r>
      <w:r>
        <w:rPr>
          <w:rFonts w:hint="eastAsia" w:ascii="仿宋" w:hAnsi="仿宋" w:eastAsia="仿宋"/>
          <w:sz w:val="28"/>
          <w:szCs w:val="28"/>
        </w:rPr>
        <w:t>柴油发电机组维护保养服务外包项目时间要求：</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sz w:val="28"/>
          <w:szCs w:val="28"/>
        </w:rPr>
        <w:t>7.1</w:t>
      </w:r>
      <w:r>
        <w:rPr>
          <w:rFonts w:hint="eastAsia" w:ascii="仿宋" w:hAnsi="仿宋" w:eastAsia="仿宋"/>
          <w:kern w:val="0"/>
          <w:sz w:val="28"/>
          <w:szCs w:val="28"/>
        </w:rPr>
        <w:t>巡检每季度一次。</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7.2维护保养每半年一次。</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7.3维修：巡检发现，不超过36小时完成维修；校方报修，须立即响应，6小时内到现场勘察，48小时内完成维修；抢修：2小时内到达现场，最迟24小时完成抢修。</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7.4所有维修、抢修工作，配件材料确需“柴发”生产厂家定制的，须在30天内完成。</w:t>
      </w:r>
    </w:p>
    <w:p>
      <w:pPr>
        <w:adjustRightInd w:val="0"/>
        <w:snapToGrid w:val="0"/>
        <w:spacing w:line="500" w:lineRule="exact"/>
        <w:ind w:firstLine="560" w:firstLineChars="200"/>
        <w:rPr>
          <w:rFonts w:ascii="仿宋" w:hAnsi="仿宋" w:eastAsia="仿宋"/>
          <w:sz w:val="28"/>
          <w:szCs w:val="28"/>
        </w:rPr>
      </w:pPr>
      <w:r>
        <w:rPr>
          <w:rFonts w:hint="eastAsia" w:ascii="仿宋" w:hAnsi="仿宋" w:eastAsia="仿宋"/>
          <w:kern w:val="0"/>
          <w:sz w:val="28"/>
          <w:szCs w:val="28"/>
        </w:rPr>
        <w:t>7.5</w:t>
      </w:r>
      <w:r>
        <w:rPr>
          <w:rFonts w:hint="eastAsia" w:ascii="仿宋" w:hAnsi="仿宋" w:eastAsia="仿宋"/>
          <w:sz w:val="28"/>
          <w:szCs w:val="28"/>
        </w:rPr>
        <w:t>所有巡检、维修、维保单据均需维修维护人员、物业公司电工和物业科能源管理员三方签字确认。</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8.每次维保完成后，中标服务商须回收废旧机油，并按国家相关规定进行处置，如处置不当、破坏环境、造成处罚的，由中标服务商全权承担，学校不承担任何法律和经济责任。</w:t>
      </w: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四、柴油发电机组维护保养服务外包项目技术标准</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1.中标服务商须指派专业人员每季度对校方的“柴发”实施一次巡检，并根据检查情况，采取主动预防性措施，保障设备正常运行，防止故障发生。</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在零配件的保用期内，若出现与更换零配件有关的故障服务商负责免费维护；若出现与更换零配件无关的故障，需要服务商进行维修时，由中标服务商单独报价，经学校相关部门核准后实施。紧急抢修可先实施，后完善手续。</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3.柴油发电机组维护保养中所换零配件，均需按国家相关规定进行质保。所有零配件和机油均为符合国家规定，适用我校柴油发电机组的正品零配件和机油，不得有假冒、翻新的零配件和机油。</w:t>
      </w: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五、柴油发电机组维护保养服务外包项目报价须知</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1.不得超过限价表进行报价，超过者作废。</w:t>
      </w:r>
    </w:p>
    <w:p>
      <w:pPr>
        <w:adjustRightInd w:val="0"/>
        <w:snapToGrid w:val="0"/>
        <w:spacing w:line="500" w:lineRule="exact"/>
        <w:ind w:firstLine="560" w:firstLineChars="200"/>
        <w:jc w:val="left"/>
        <w:rPr>
          <w:rFonts w:ascii="仿宋" w:hAnsi="仿宋" w:eastAsia="仿宋"/>
          <w:kern w:val="0"/>
          <w:sz w:val="28"/>
          <w:szCs w:val="28"/>
        </w:rPr>
      </w:pPr>
      <w:r>
        <w:rPr>
          <w:rFonts w:hint="eastAsia" w:ascii="仿宋" w:hAnsi="仿宋" w:eastAsia="仿宋"/>
          <w:sz w:val="28"/>
          <w:szCs w:val="28"/>
        </w:rPr>
        <w:t>2.本次报价分为维护保养服务费和材料费，均分别报价，服务费报价包含：修理劳务费、设计改造费、质量保修费、施工设备费、车辆器材使用费、调试费、措施费、材料运费、安全保险费，企业管理费、各项规费、利润及税金等一切费用；材料费含材料和税金。</w:t>
      </w:r>
    </w:p>
    <w:p>
      <w:pPr>
        <w:adjustRightInd w:val="0"/>
        <w:snapToGrid w:val="0"/>
        <w:spacing w:line="500" w:lineRule="exact"/>
        <w:ind w:firstLine="560" w:firstLineChars="200"/>
        <w:jc w:val="left"/>
        <w:rPr>
          <w:rFonts w:ascii="方正黑体_GBK" w:hAnsi="仿宋" w:eastAsia="方正黑体_GBK"/>
          <w:sz w:val="28"/>
          <w:szCs w:val="28"/>
        </w:rPr>
      </w:pPr>
      <w:r>
        <w:rPr>
          <w:rFonts w:hint="eastAsia" w:ascii="方正黑体_GBK" w:hAnsi="仿宋" w:eastAsia="方正黑体_GBK"/>
          <w:sz w:val="28"/>
          <w:szCs w:val="28"/>
        </w:rPr>
        <w:t xml:space="preserve">六、服务商资格要求 </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参加报价的服务商须具备一下资格：</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1.具有独立承担民事责任的能力 ：</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2.具有良好的商业信誉和健全的财务会计制度；</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 xml:space="preserve">3.具有履行合同所必须的设备和专业技术能力； </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4.有依法缴纳税收和社会保障资金的良好记录；</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5.近三年内参加政府采购活动以及经营活动无重大违法记录；</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仿宋" w:hAnsi="仿宋" w:eastAsia="仿宋"/>
          <w:sz w:val="28"/>
          <w:szCs w:val="28"/>
        </w:rPr>
        <w:t>6.营业执照经营范围必须涉及该采购项目专业领域或具备发电机组维修维护、机电安装相关专业资质，并上传相应文件扫描件；</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7.参与分散采购的服务商须密封提供有鲜章的以下材料：</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.1</w:t>
      </w:r>
      <w:r>
        <w:rPr>
          <w:rFonts w:hint="eastAsia" w:ascii="仿宋" w:hAnsi="仿宋" w:eastAsia="仿宋"/>
          <w:sz w:val="28"/>
          <w:szCs w:val="28"/>
        </w:rPr>
        <w:t>法人营业执照副本复印件盖鲜章（或未办理三证合一的营业执照、组织机构代码证、税务登记证复印件盖鲜章）。</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.2</w:t>
      </w:r>
      <w:r>
        <w:rPr>
          <w:rFonts w:hint="eastAsia" w:ascii="仿宋" w:hAnsi="仿宋" w:eastAsia="仿宋"/>
          <w:sz w:val="28"/>
          <w:szCs w:val="28"/>
        </w:rPr>
        <w:t>法定代表人身份证明书。</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.3</w:t>
      </w:r>
      <w:r>
        <w:rPr>
          <w:rFonts w:hint="eastAsia" w:ascii="仿宋" w:hAnsi="仿宋" w:eastAsia="仿宋"/>
          <w:sz w:val="28"/>
          <w:szCs w:val="28"/>
        </w:rPr>
        <w:t>法定代表人授权委托书，法人亲自参与分散采购的，则不需要授权委托书。</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.4</w:t>
      </w:r>
      <w:r>
        <w:rPr>
          <w:rFonts w:hint="eastAsia" w:ascii="仿宋" w:hAnsi="仿宋" w:eastAsia="仿宋"/>
          <w:sz w:val="28"/>
          <w:szCs w:val="28"/>
        </w:rPr>
        <w:t>诚信声明【含：良好的商业信誉、健全的财务会计制度、服务能力、安全责任（均由服务商全权承担，学校不承担任何经济和法律责任）等】。</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.5重庆城市管理职业学院柴油发电</w:t>
      </w:r>
      <w:r>
        <w:rPr>
          <w:rFonts w:hint="eastAsia" w:ascii="仿宋" w:hAnsi="仿宋" w:eastAsia="仿宋"/>
          <w:sz w:val="28"/>
          <w:szCs w:val="28"/>
        </w:rPr>
        <w:t>机组维护保养服务技术方案。</w:t>
      </w:r>
    </w:p>
    <w:p>
      <w:pPr>
        <w:adjustRightInd w:val="0"/>
        <w:snapToGrid w:val="0"/>
        <w:spacing w:line="500" w:lineRule="exact"/>
        <w:ind w:firstLine="560" w:firstLineChars="200"/>
        <w:jc w:val="left"/>
        <w:rPr>
          <w:rFonts w:hint="eastAsia" w:ascii="仿宋" w:hAnsi="仿宋" w:eastAsia="仿宋"/>
          <w:sz w:val="28"/>
          <w:szCs w:val="28"/>
          <w:lang w:eastAsia="zh-CN"/>
        </w:rPr>
      </w:pPr>
      <w:r>
        <w:rPr>
          <w:rFonts w:hint="eastAsia" w:ascii="仿宋" w:hAnsi="仿宋" w:eastAsia="仿宋"/>
          <w:sz w:val="28"/>
          <w:szCs w:val="28"/>
        </w:rPr>
        <w:t>7.6</w:t>
      </w:r>
      <w:r>
        <w:rPr>
          <w:rFonts w:ascii="仿宋" w:hAnsi="仿宋" w:eastAsia="仿宋"/>
          <w:sz w:val="28"/>
          <w:szCs w:val="28"/>
        </w:rPr>
        <w:t>重庆城市管理职业学院柴油发电</w:t>
      </w:r>
      <w:r>
        <w:rPr>
          <w:rFonts w:hint="eastAsia" w:ascii="仿宋" w:hAnsi="仿宋" w:eastAsia="仿宋"/>
          <w:sz w:val="28"/>
          <w:szCs w:val="28"/>
        </w:rPr>
        <w:t>机组维护保养服务项目报价表（根据限价表制定</w:t>
      </w:r>
      <w:r>
        <w:rPr>
          <w:rFonts w:hint="eastAsia" w:ascii="仿宋" w:hAnsi="仿宋" w:eastAsia="仿宋"/>
          <w:sz w:val="28"/>
          <w:szCs w:val="28"/>
          <w:lang w:eastAsia="zh-CN"/>
        </w:rPr>
        <w:t>）</w:t>
      </w:r>
    </w:p>
    <w:p>
      <w:pPr>
        <w:adjustRightInd w:val="0"/>
        <w:snapToGrid w:val="0"/>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7.7提供相关维保人员在投标人单位购买的202</w:t>
      </w:r>
      <w:r>
        <w:rPr>
          <w:rFonts w:hint="eastAsia" w:ascii="仿宋" w:hAnsi="仿宋" w:eastAsia="仿宋"/>
          <w:sz w:val="28"/>
          <w:szCs w:val="28"/>
          <w:lang w:val="en-US" w:eastAsia="zh-CN"/>
        </w:rPr>
        <w:t>3</w:t>
      </w:r>
      <w:r>
        <w:rPr>
          <w:rFonts w:hint="eastAsia" w:ascii="仿宋" w:hAnsi="仿宋" w:eastAsia="仿宋"/>
          <w:sz w:val="28"/>
          <w:szCs w:val="28"/>
        </w:rPr>
        <w:t>年1-5月的社保证明复印件</w:t>
      </w:r>
    </w:p>
    <w:p>
      <w:pPr>
        <w:adjustRightInd w:val="0"/>
        <w:snapToGrid w:val="0"/>
        <w:spacing w:line="500" w:lineRule="exact"/>
        <w:ind w:firstLine="560" w:firstLineChars="200"/>
        <w:jc w:val="left"/>
        <w:rPr>
          <w:rFonts w:hint="eastAsia" w:ascii="仿宋" w:hAnsi="仿宋" w:eastAsia="仿宋"/>
          <w:sz w:val="28"/>
          <w:szCs w:val="28"/>
        </w:rPr>
      </w:pPr>
      <w:r>
        <w:rPr>
          <w:rFonts w:hint="eastAsia" w:ascii="仿宋" w:hAnsi="仿宋" w:eastAsia="仿宋"/>
          <w:sz w:val="28"/>
          <w:szCs w:val="28"/>
        </w:rPr>
        <w:t>7.8维保人员从业资格证书，不少于2人复印件，原件备查。</w:t>
      </w:r>
    </w:p>
    <w:p>
      <w:pPr>
        <w:adjustRightInd w:val="0"/>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7.9二份及以上证明业绩的合同复印件。</w:t>
      </w:r>
    </w:p>
    <w:p>
      <w:pPr>
        <w:widowControl/>
        <w:shd w:val="clear" w:color="auto" w:fill="FFFFFF"/>
        <w:adjustRightInd w:val="0"/>
        <w:snapToGrid w:val="0"/>
        <w:spacing w:line="500" w:lineRule="exact"/>
        <w:ind w:firstLine="478" w:firstLineChars="171"/>
        <w:jc w:val="left"/>
        <w:rPr>
          <w:rFonts w:ascii="仿宋" w:hAnsi="仿宋" w:eastAsia="仿宋"/>
          <w:sz w:val="28"/>
          <w:szCs w:val="28"/>
        </w:rPr>
      </w:pPr>
      <w:r>
        <w:rPr>
          <w:rFonts w:hint="eastAsia" w:ascii="方正黑体_GBK" w:hAnsi="仿宋" w:eastAsia="方正黑体_GBK"/>
          <w:sz w:val="28"/>
          <w:szCs w:val="28"/>
        </w:rPr>
        <w:t>七、费用结算</w:t>
      </w:r>
    </w:p>
    <w:p>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柴油发电机组维护保养服务费根据维保巡查登记表按季度结算，维修保养费根据维修保养确认单和维系保养效果按次据实结算，若遇节假日和寒暑假期间，结算顺延。</w:t>
      </w:r>
    </w:p>
    <w:p>
      <w:pPr>
        <w:adjustRightInd w:val="0"/>
        <w:snapToGrid w:val="0"/>
        <w:spacing w:line="500" w:lineRule="exact"/>
        <w:ind w:firstLine="560" w:firstLineChars="200"/>
        <w:rPr>
          <w:rFonts w:ascii="方正黑体_GBK" w:hAnsi="仿宋" w:eastAsia="方正黑体_GBK"/>
          <w:sz w:val="28"/>
          <w:szCs w:val="28"/>
        </w:rPr>
      </w:pPr>
      <w:r>
        <w:rPr>
          <w:rFonts w:hint="eastAsia" w:ascii="方正黑体_GBK" w:hAnsi="仿宋" w:eastAsia="方正黑体_GBK"/>
          <w:sz w:val="28"/>
          <w:szCs w:val="28"/>
        </w:rPr>
        <w:t>八、违约责任</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1.按《合同法》、《</w:t>
      </w:r>
      <w:r>
        <w:rPr>
          <w:rFonts w:hint="eastAsia" w:ascii="仿宋" w:hAnsi="仿宋" w:eastAsia="仿宋"/>
          <w:kern w:val="0"/>
          <w:sz w:val="28"/>
          <w:szCs w:val="28"/>
          <w:lang w:eastAsia="zh-CN"/>
        </w:rPr>
        <w:t>中华人民共和国民法典</w:t>
      </w:r>
      <w:r>
        <w:rPr>
          <w:rFonts w:hint="eastAsia" w:ascii="仿宋" w:hAnsi="仿宋" w:eastAsia="仿宋"/>
          <w:kern w:val="0"/>
          <w:sz w:val="28"/>
          <w:szCs w:val="28"/>
        </w:rPr>
        <w:t>》执行，或按双方约定。</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2.因为维保售后不及时、不合理，给校方造成损失(含经济和社会影响)的，中标服务商须支付违约金人民币500-2000元/次.项。</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3.未按规定完成柴油发电机组维护保养服务外包项目要求的，中标服务商须支付违约金人民币200-1000元/次.项。</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4.若因中标服务商技术力量不足，致使维修不及时，维修效果差，校方有权取消维修维护服务，不支付当季服务费，所交保证金不予退还。</w:t>
      </w:r>
    </w:p>
    <w:p>
      <w:pPr>
        <w:widowControl/>
        <w:shd w:val="clear" w:color="auto" w:fill="FFFFFF"/>
        <w:spacing w:line="440" w:lineRule="exact"/>
        <w:ind w:firstLine="478" w:firstLineChars="171"/>
        <w:jc w:val="left"/>
        <w:rPr>
          <w:rFonts w:ascii="方正黑体_GBK" w:hAnsi="仿宋" w:eastAsia="方正黑体_GBK"/>
          <w:sz w:val="28"/>
          <w:szCs w:val="28"/>
        </w:rPr>
      </w:pPr>
      <w:r>
        <w:rPr>
          <w:rFonts w:hint="eastAsia" w:ascii="方正黑体_GBK" w:hAnsi="仿宋" w:eastAsia="方正黑体_GBK"/>
          <w:sz w:val="28"/>
          <w:szCs w:val="28"/>
        </w:rPr>
        <w:t>九、其他</w:t>
      </w:r>
    </w:p>
    <w:p>
      <w:pPr>
        <w:widowControl/>
        <w:shd w:val="clear" w:color="auto" w:fill="FFFFFF"/>
        <w:spacing w:line="440" w:lineRule="exact"/>
        <w:ind w:firstLine="478" w:firstLineChars="171"/>
        <w:jc w:val="left"/>
        <w:rPr>
          <w:rFonts w:ascii="仿宋" w:hAnsi="仿宋" w:eastAsia="仿宋"/>
          <w:sz w:val="28"/>
          <w:szCs w:val="28"/>
        </w:rPr>
      </w:pPr>
      <w:r>
        <w:rPr>
          <w:rFonts w:hint="eastAsia" w:ascii="仿宋" w:hAnsi="仿宋" w:eastAsia="仿宋"/>
          <w:sz w:val="28"/>
          <w:szCs w:val="28"/>
        </w:rPr>
        <w:t>（一）竞价单位有到重庆城市管理职业学院现场勘察的，须在202</w:t>
      </w:r>
      <w:r>
        <w:rPr>
          <w:rFonts w:hint="eastAsia" w:ascii="仿宋" w:hAnsi="仿宋" w:eastAsia="仿宋"/>
          <w:sz w:val="28"/>
          <w:szCs w:val="28"/>
          <w:lang w:val="en-US" w:eastAsia="zh-CN"/>
        </w:rPr>
        <w:t>3</w:t>
      </w:r>
      <w:r>
        <w:rPr>
          <w:rFonts w:hint="eastAsia" w:ascii="仿宋" w:hAnsi="仿宋" w:eastAsia="仿宋"/>
          <w:sz w:val="28"/>
          <w:szCs w:val="28"/>
        </w:rPr>
        <w:t>年月日前电话联系，联系人：</w:t>
      </w:r>
      <w:r>
        <w:rPr>
          <w:rFonts w:hint="eastAsia" w:ascii="仿宋" w:hAnsi="仿宋" w:eastAsia="仿宋"/>
          <w:sz w:val="28"/>
          <w:szCs w:val="28"/>
          <w:lang w:eastAsia="zh-CN"/>
        </w:rPr>
        <w:t>邹</w:t>
      </w:r>
      <w:r>
        <w:rPr>
          <w:rFonts w:hint="eastAsia" w:ascii="仿宋" w:hAnsi="仿宋" w:eastAsia="仿宋"/>
          <w:sz w:val="28"/>
          <w:szCs w:val="28"/>
        </w:rPr>
        <w:t>老师，联系电话：</w:t>
      </w:r>
      <w:r>
        <w:rPr>
          <w:rFonts w:hint="eastAsia" w:ascii="仿宋" w:hAnsi="仿宋" w:eastAsia="仿宋"/>
          <w:sz w:val="28"/>
          <w:szCs w:val="28"/>
          <w:lang w:val="en-US" w:eastAsia="zh-CN"/>
        </w:rPr>
        <w:t>17623055930</w:t>
      </w:r>
      <w:r>
        <w:rPr>
          <w:rFonts w:hint="eastAsia" w:ascii="仿宋" w:hAnsi="仿宋" w:eastAsia="仿宋"/>
          <w:sz w:val="28"/>
          <w:szCs w:val="28"/>
        </w:rPr>
        <w:t>，并于202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日16：00前现场勘察(仅此一天)。</w:t>
      </w:r>
    </w:p>
    <w:p>
      <w:pPr>
        <w:widowControl/>
        <w:shd w:val="clear" w:color="auto" w:fill="FFFFFF"/>
        <w:spacing w:line="440" w:lineRule="exact"/>
        <w:ind w:firstLine="478" w:firstLineChars="171"/>
        <w:jc w:val="left"/>
        <w:rPr>
          <w:rFonts w:ascii="仿宋" w:hAnsi="仿宋" w:eastAsia="仿宋"/>
          <w:sz w:val="28"/>
          <w:szCs w:val="28"/>
        </w:rPr>
      </w:pPr>
      <w:r>
        <w:rPr>
          <w:rFonts w:hint="eastAsia" w:ascii="仿宋" w:hAnsi="仿宋" w:eastAsia="仿宋"/>
          <w:sz w:val="28"/>
          <w:szCs w:val="28"/>
        </w:rPr>
        <w:t>(二)</w:t>
      </w:r>
      <w:r>
        <w:rPr>
          <w:rFonts w:hint="eastAsia" w:ascii="仿宋" w:hAnsi="仿宋" w:eastAsia="仿宋" w:cs="宋体"/>
          <w:kern w:val="0"/>
          <w:sz w:val="28"/>
          <w:szCs w:val="28"/>
        </w:rPr>
        <w:t xml:space="preserve"> 成交原则</w:t>
      </w:r>
      <w:bookmarkStart w:id="0" w:name="_GoBack"/>
      <w:bookmarkEnd w:id="0"/>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xml:space="preserve">在符合本次采购要求、质量和服务的前提下，按报价最低的原则确定成交服务商。如出现两个以上相同最低报价的，则以服务响应时间短的服务商为中标服务商；如果最低报价和服务响应时间都相同，则以先报价的服务商为中标服务商 。 </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 xml:space="preserve">（三）采购异议处理 </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1、服务商对采购文件中服务商特定资格条件、技术质量和商务要求、评审标准及评审细则有异议的，应及时向采购人或代理机构提出。</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2、服务商对成交结果或中标结果有异议的，应当在成交预公示发布之日起三个日历日内以书面形式向采购人（采购代理机构）提出，并附相关证明材料。</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3、采购人、采购代理机构在收到服务商书面异议后两个工作日内，通过补遗方式对异议进行答复。</w:t>
      </w:r>
    </w:p>
    <w:p>
      <w:pPr>
        <w:widowControl/>
        <w:shd w:val="clear" w:color="auto" w:fill="FFFFFF"/>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4、对于服务商弄虚作假、恶意中标或中标后不履行服务承诺等不良行为，采购人有权取消其中标资格或扣除全部保证金。情节严重者，直接列入“违法失信行为名单”公开曝光。</w:t>
      </w:r>
    </w:p>
    <w:p>
      <w:pPr>
        <w:widowControl/>
        <w:shd w:val="clear" w:color="auto" w:fill="FFFFFF"/>
        <w:spacing w:line="520" w:lineRule="exact"/>
        <w:ind w:firstLine="200"/>
        <w:jc w:val="left"/>
        <w:rPr>
          <w:rFonts w:ascii="仿宋" w:hAnsi="仿宋" w:eastAsia="仿宋"/>
          <w:sz w:val="28"/>
          <w:szCs w:val="28"/>
        </w:rPr>
      </w:pPr>
    </w:p>
    <w:p>
      <w:pPr>
        <w:adjustRightInd w:val="0"/>
        <w:snapToGrid w:val="0"/>
        <w:spacing w:line="560" w:lineRule="exact"/>
        <w:ind w:firstLine="640" w:firstLineChars="200"/>
        <w:jc w:val="left"/>
        <w:rPr>
          <w:rFonts w:ascii="方正仿宋_GBK" w:eastAsia="方正仿宋_GBK"/>
          <w:sz w:val="32"/>
          <w:szCs w:val="32"/>
        </w:rPr>
        <w:sectPr>
          <w:footerReference r:id="rId3" w:type="default"/>
          <w:pgSz w:w="11906" w:h="16838"/>
          <w:pgMar w:top="1418" w:right="1588" w:bottom="1418" w:left="1588" w:header="851" w:footer="992" w:gutter="0"/>
          <w:cols w:space="720" w:num="1"/>
          <w:docGrid w:type="linesAndChars" w:linePitch="312" w:charSpace="0"/>
        </w:sectPr>
      </w:pPr>
    </w:p>
    <w:p>
      <w:pPr>
        <w:adjustRightInd w:val="0"/>
        <w:snapToGrid w:val="0"/>
        <w:spacing w:line="520" w:lineRule="exact"/>
        <w:jc w:val="left"/>
        <w:rPr>
          <w:rFonts w:ascii="方正仿宋_GBK" w:hAnsi="仿宋" w:eastAsia="方正仿宋_GBK"/>
          <w:sz w:val="28"/>
          <w:szCs w:val="28"/>
        </w:rPr>
      </w:pPr>
      <w:r>
        <w:rPr>
          <w:rFonts w:hint="eastAsia" w:ascii="方正仿宋_GBK" w:hAnsi="仿宋" w:eastAsia="方正仿宋_GBK"/>
          <w:sz w:val="28"/>
          <w:szCs w:val="28"/>
        </w:rPr>
        <w:t>附件二</w:t>
      </w:r>
    </w:p>
    <w:p>
      <w:pPr>
        <w:adjustRightInd w:val="0"/>
        <w:snapToGrid w:val="0"/>
        <w:spacing w:line="520" w:lineRule="exact"/>
        <w:jc w:val="center"/>
        <w:rPr>
          <w:rFonts w:ascii="方正小标宋_GBK" w:hAnsi="仿宋" w:eastAsia="方正小标宋_GBK"/>
          <w:sz w:val="32"/>
          <w:szCs w:val="32"/>
        </w:rPr>
      </w:pPr>
      <w:r>
        <w:rPr>
          <w:rFonts w:hint="eastAsia" w:ascii="方正小标宋_GBK" w:hAnsi="仿宋" w:eastAsia="方正小标宋_GBK"/>
          <w:sz w:val="32"/>
          <w:szCs w:val="32"/>
        </w:rPr>
        <w:t>重庆城市管理职业学院柴油发电机组维护保养费用限价表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988"/>
        <w:gridCol w:w="1687"/>
        <w:gridCol w:w="874"/>
        <w:gridCol w:w="1092"/>
        <w:gridCol w:w="105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服务费限价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序号</w:t>
            </w:r>
          </w:p>
        </w:tc>
        <w:tc>
          <w:tcPr>
            <w:tcW w:w="988"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项目</w:t>
            </w:r>
          </w:p>
        </w:tc>
        <w:tc>
          <w:tcPr>
            <w:tcW w:w="1687"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限价</w:t>
            </w:r>
          </w:p>
        </w:tc>
        <w:tc>
          <w:tcPr>
            <w:tcW w:w="1966" w:type="dxa"/>
            <w:gridSpan w:val="2"/>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柴发机组功率</w:t>
            </w:r>
          </w:p>
        </w:tc>
        <w:tc>
          <w:tcPr>
            <w:tcW w:w="1056" w:type="dxa"/>
            <w:shd w:val="clear" w:color="auto" w:fill="auto"/>
          </w:tcPr>
          <w:p>
            <w:pPr>
              <w:adjustRightInd w:val="0"/>
              <w:snapToGrid w:val="0"/>
              <w:spacing w:line="520" w:lineRule="exact"/>
              <w:jc w:val="center"/>
              <w:rPr>
                <w:rFonts w:hint="eastAsia" w:ascii="仿宋" w:hAnsi="仿宋" w:eastAsia="仿宋"/>
                <w:sz w:val="24"/>
                <w:lang w:eastAsia="zh-CN"/>
              </w:rPr>
            </w:pPr>
            <w:r>
              <w:rPr>
                <w:rFonts w:hint="eastAsia" w:ascii="仿宋" w:hAnsi="仿宋" w:eastAsia="仿宋"/>
                <w:sz w:val="24"/>
              </w:rPr>
              <w:t>年合计</w:t>
            </w:r>
            <w:r>
              <w:rPr>
                <w:rFonts w:hint="eastAsia" w:ascii="仿宋" w:hAnsi="仿宋" w:eastAsia="仿宋"/>
                <w:sz w:val="24"/>
                <w:lang w:eastAsia="zh-CN"/>
              </w:rPr>
              <w:t>（元）</w:t>
            </w:r>
          </w:p>
        </w:tc>
        <w:tc>
          <w:tcPr>
            <w:tcW w:w="2013" w:type="dxa"/>
            <w:shd w:val="clear" w:color="auto" w:fill="auto"/>
          </w:tcPr>
          <w:p>
            <w:pPr>
              <w:adjustRightInd w:val="0"/>
              <w:snapToGrid w:val="0"/>
              <w:spacing w:line="520" w:lineRule="exact"/>
              <w:jc w:val="center"/>
              <w:rPr>
                <w:rFonts w:hint="eastAsia" w:ascii="仿宋" w:hAnsi="仿宋" w:eastAsia="仿宋"/>
                <w:sz w:val="24"/>
                <w:lang w:eastAsia="zh-CN"/>
              </w:rPr>
            </w:pPr>
            <w:r>
              <w:rPr>
                <w:rFonts w:hint="eastAsia" w:ascii="仿宋" w:hAnsi="仿宋" w:eastAsia="仿宋"/>
                <w:sz w:val="24"/>
                <w:lang w:val="en-US" w:eastAsia="zh-CN"/>
              </w:rPr>
              <w:t>1.5</w:t>
            </w:r>
            <w:r>
              <w:rPr>
                <w:rFonts w:hint="eastAsia" w:ascii="仿宋" w:hAnsi="仿宋" w:eastAsia="仿宋"/>
                <w:sz w:val="24"/>
              </w:rPr>
              <w:t>年合计</w:t>
            </w:r>
            <w:r>
              <w:rPr>
                <w:rFonts w:hint="eastAsia" w:ascii="仿宋" w:hAnsi="仿宋" w:eastAsia="仿宋"/>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1</w:t>
            </w:r>
          </w:p>
        </w:tc>
        <w:tc>
          <w:tcPr>
            <w:tcW w:w="988" w:type="dxa"/>
            <w:vMerge w:val="restart"/>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服务费</w:t>
            </w:r>
          </w:p>
        </w:tc>
        <w:tc>
          <w:tcPr>
            <w:tcW w:w="1687" w:type="dxa"/>
            <w:vMerge w:val="restart"/>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rPr>
              <w:t>8.6元/KW.年</w:t>
            </w:r>
          </w:p>
        </w:tc>
        <w:tc>
          <w:tcPr>
            <w:tcW w:w="1966" w:type="dxa"/>
            <w:gridSpan w:val="2"/>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lang w:val="en-US" w:eastAsia="zh-CN"/>
              </w:rPr>
              <w:t>600</w:t>
            </w:r>
            <w:r>
              <w:rPr>
                <w:rFonts w:hint="eastAsia" w:ascii="仿宋" w:hAnsi="仿宋" w:eastAsia="仿宋"/>
                <w:sz w:val="24"/>
              </w:rPr>
              <w:t xml:space="preserve"> KW</w:t>
            </w:r>
          </w:p>
        </w:tc>
        <w:tc>
          <w:tcPr>
            <w:tcW w:w="1056" w:type="dxa"/>
            <w:shd w:val="clear" w:color="auto" w:fill="auto"/>
          </w:tcPr>
          <w:p>
            <w:pPr>
              <w:adjustRightInd w:val="0"/>
              <w:snapToGrid w:val="0"/>
              <w:spacing w:line="520" w:lineRule="exact"/>
              <w:jc w:val="left"/>
              <w:rPr>
                <w:rFonts w:ascii="仿宋" w:hAnsi="仿宋" w:eastAsia="仿宋"/>
                <w:sz w:val="24"/>
              </w:rPr>
            </w:pPr>
          </w:p>
        </w:tc>
        <w:tc>
          <w:tcPr>
            <w:tcW w:w="2013" w:type="dxa"/>
            <w:shd w:val="clear" w:color="auto" w:fill="auto"/>
          </w:tcPr>
          <w:p>
            <w:pPr>
              <w:adjustRightInd w:val="0"/>
              <w:snapToGrid w:val="0"/>
              <w:spacing w:line="5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shd w:val="clear" w:color="auto" w:fill="auto"/>
          </w:tcPr>
          <w:p>
            <w:pPr>
              <w:adjustRightInd w:val="0"/>
              <w:snapToGrid w:val="0"/>
              <w:spacing w:line="520" w:lineRule="exact"/>
              <w:jc w:val="left"/>
              <w:rPr>
                <w:rFonts w:ascii="仿宋" w:hAnsi="仿宋" w:eastAsia="仿宋"/>
                <w:sz w:val="24"/>
              </w:rPr>
            </w:pPr>
          </w:p>
        </w:tc>
        <w:tc>
          <w:tcPr>
            <w:tcW w:w="988" w:type="dxa"/>
            <w:vMerge w:val="continue"/>
            <w:shd w:val="clear" w:color="auto" w:fill="auto"/>
          </w:tcPr>
          <w:p>
            <w:pPr>
              <w:adjustRightInd w:val="0"/>
              <w:snapToGrid w:val="0"/>
              <w:spacing w:line="520" w:lineRule="exact"/>
              <w:jc w:val="left"/>
              <w:rPr>
                <w:rFonts w:ascii="仿宋" w:hAnsi="仿宋" w:eastAsia="仿宋"/>
                <w:sz w:val="24"/>
              </w:rPr>
            </w:pPr>
          </w:p>
        </w:tc>
        <w:tc>
          <w:tcPr>
            <w:tcW w:w="1687" w:type="dxa"/>
            <w:vMerge w:val="continue"/>
            <w:shd w:val="clear" w:color="auto" w:fill="auto"/>
          </w:tcPr>
          <w:p>
            <w:pPr>
              <w:adjustRightInd w:val="0"/>
              <w:snapToGrid w:val="0"/>
              <w:spacing w:line="520" w:lineRule="exact"/>
              <w:jc w:val="left"/>
              <w:rPr>
                <w:rFonts w:ascii="仿宋" w:hAnsi="仿宋" w:eastAsia="仿宋"/>
                <w:sz w:val="24"/>
              </w:rPr>
            </w:pPr>
          </w:p>
        </w:tc>
        <w:tc>
          <w:tcPr>
            <w:tcW w:w="1966" w:type="dxa"/>
            <w:gridSpan w:val="2"/>
            <w:shd w:val="clear" w:color="auto" w:fill="auto"/>
            <w:vAlign w:val="center"/>
          </w:tcPr>
          <w:p>
            <w:pPr>
              <w:adjustRightInd w:val="0"/>
              <w:snapToGrid w:val="0"/>
              <w:spacing w:line="520" w:lineRule="exact"/>
              <w:jc w:val="center"/>
              <w:rPr>
                <w:rFonts w:ascii="仿宋" w:hAnsi="仿宋" w:eastAsia="仿宋"/>
                <w:sz w:val="24"/>
              </w:rPr>
            </w:pPr>
            <w:r>
              <w:rPr>
                <w:rFonts w:hint="eastAsia" w:ascii="仿宋" w:hAnsi="仿宋" w:eastAsia="仿宋"/>
                <w:sz w:val="24"/>
                <w:lang w:val="en-US" w:eastAsia="zh-CN"/>
              </w:rPr>
              <w:t>750</w:t>
            </w:r>
            <w:r>
              <w:rPr>
                <w:rFonts w:hint="eastAsia" w:ascii="仿宋" w:hAnsi="仿宋" w:eastAsia="仿宋"/>
                <w:sz w:val="24"/>
              </w:rPr>
              <w:t xml:space="preserve"> KW</w:t>
            </w:r>
          </w:p>
        </w:tc>
        <w:tc>
          <w:tcPr>
            <w:tcW w:w="1056" w:type="dxa"/>
            <w:shd w:val="clear" w:color="auto" w:fill="auto"/>
          </w:tcPr>
          <w:p>
            <w:pPr>
              <w:adjustRightInd w:val="0"/>
              <w:snapToGrid w:val="0"/>
              <w:spacing w:line="520" w:lineRule="exact"/>
              <w:jc w:val="left"/>
              <w:rPr>
                <w:rFonts w:ascii="仿宋" w:hAnsi="仿宋" w:eastAsia="仿宋"/>
                <w:sz w:val="24"/>
              </w:rPr>
            </w:pPr>
          </w:p>
        </w:tc>
        <w:tc>
          <w:tcPr>
            <w:tcW w:w="2013" w:type="dxa"/>
            <w:shd w:val="clear" w:color="auto" w:fill="auto"/>
          </w:tcPr>
          <w:p>
            <w:pPr>
              <w:adjustRightInd w:val="0"/>
              <w:snapToGrid w:val="0"/>
              <w:spacing w:line="5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shd w:val="clear" w:color="auto" w:fill="auto"/>
            <w:vAlign w:val="center"/>
          </w:tcPr>
          <w:p>
            <w:pPr>
              <w:adjustRightInd w:val="0"/>
              <w:snapToGrid w:val="0"/>
              <w:spacing w:line="520" w:lineRule="exact"/>
              <w:jc w:val="center"/>
              <w:rPr>
                <w:rFonts w:ascii="仿宋" w:hAnsi="仿宋" w:eastAsia="仿宋"/>
                <w:sz w:val="28"/>
                <w:szCs w:val="28"/>
              </w:rPr>
            </w:pPr>
            <w:r>
              <w:rPr>
                <w:rFonts w:hint="eastAsia" w:ascii="仿宋" w:hAnsi="仿宋" w:eastAsia="仿宋"/>
                <w:sz w:val="28"/>
                <w:szCs w:val="28"/>
              </w:rPr>
              <w:t>维保材料费限价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shd w:val="clear" w:color="auto" w:fill="auto"/>
            <w:vAlign w:val="center"/>
          </w:tcPr>
          <w:p>
            <w:pPr>
              <w:adjustRightInd w:val="0"/>
              <w:snapToGrid w:val="0"/>
              <w:spacing w:line="520" w:lineRule="exact"/>
              <w:jc w:val="center"/>
              <w:rPr>
                <w:rFonts w:ascii="仿宋" w:hAnsi="仿宋" w:eastAsia="仿宋"/>
                <w:sz w:val="28"/>
                <w:szCs w:val="28"/>
              </w:rPr>
            </w:pPr>
            <w:r>
              <w:rPr>
                <w:rFonts w:hint="eastAsia" w:ascii="仿宋" w:hAnsi="仿宋" w:eastAsia="仿宋"/>
                <w:sz w:val="24"/>
                <w:lang w:val="en-US" w:eastAsia="zh-CN"/>
              </w:rPr>
              <w:t>600</w:t>
            </w:r>
            <w:r>
              <w:rPr>
                <w:rFonts w:hint="eastAsia" w:ascii="仿宋" w:hAnsi="仿宋" w:eastAsia="仿宋"/>
                <w:sz w:val="24"/>
              </w:rPr>
              <w:t>KW柴油发电机组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序号</w:t>
            </w:r>
          </w:p>
        </w:tc>
        <w:tc>
          <w:tcPr>
            <w:tcW w:w="2675" w:type="dxa"/>
            <w:gridSpan w:val="2"/>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名称</w:t>
            </w:r>
          </w:p>
        </w:tc>
        <w:tc>
          <w:tcPr>
            <w:tcW w:w="874"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单价</w:t>
            </w:r>
          </w:p>
        </w:tc>
        <w:tc>
          <w:tcPr>
            <w:tcW w:w="109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数量</w:t>
            </w:r>
          </w:p>
        </w:tc>
        <w:tc>
          <w:tcPr>
            <w:tcW w:w="1056" w:type="dxa"/>
            <w:shd w:val="clear" w:color="auto" w:fill="auto"/>
          </w:tcPr>
          <w:p>
            <w:pPr>
              <w:adjustRightInd w:val="0"/>
              <w:snapToGrid w:val="0"/>
              <w:spacing w:line="520" w:lineRule="exact"/>
              <w:jc w:val="center"/>
              <w:rPr>
                <w:rFonts w:hint="eastAsia" w:ascii="仿宋" w:hAnsi="仿宋" w:eastAsia="仿宋"/>
                <w:sz w:val="24"/>
                <w:lang w:eastAsia="zh-CN"/>
              </w:rPr>
            </w:pPr>
            <w:r>
              <w:rPr>
                <w:rFonts w:hint="eastAsia" w:ascii="仿宋" w:hAnsi="仿宋" w:eastAsia="仿宋"/>
                <w:sz w:val="24"/>
              </w:rPr>
              <w:t>限价</w:t>
            </w:r>
            <w:r>
              <w:rPr>
                <w:rFonts w:hint="eastAsia" w:ascii="仿宋" w:hAnsi="仿宋" w:eastAsia="仿宋"/>
                <w:sz w:val="24"/>
                <w:lang w:eastAsia="zh-CN"/>
              </w:rPr>
              <w:t>（元）</w:t>
            </w:r>
          </w:p>
        </w:tc>
        <w:tc>
          <w:tcPr>
            <w:tcW w:w="2013"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1</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柴油油水分离器</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170</w:t>
            </w:r>
          </w:p>
        </w:tc>
        <w:tc>
          <w:tcPr>
            <w:tcW w:w="2013" w:type="dxa"/>
            <w:shd w:val="clear" w:color="auto" w:fill="auto"/>
          </w:tcPr>
          <w:p>
            <w:pPr>
              <w:spacing w:line="4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2</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机油滤清器（全流）</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230</w:t>
            </w:r>
          </w:p>
        </w:tc>
        <w:tc>
          <w:tcPr>
            <w:tcW w:w="2013" w:type="dxa"/>
            <w:shd w:val="clear" w:color="auto" w:fill="auto"/>
          </w:tcPr>
          <w:p>
            <w:pPr>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3</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机油滤清器（旁通）</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240</w:t>
            </w:r>
          </w:p>
        </w:tc>
        <w:tc>
          <w:tcPr>
            <w:tcW w:w="2013" w:type="dxa"/>
            <w:shd w:val="clear" w:color="auto" w:fill="auto"/>
          </w:tcPr>
          <w:p>
            <w:pPr>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4</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水滤清器</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185</w:t>
            </w:r>
          </w:p>
        </w:tc>
        <w:tc>
          <w:tcPr>
            <w:tcW w:w="2013" w:type="dxa"/>
            <w:shd w:val="clear" w:color="auto" w:fill="auto"/>
          </w:tcPr>
          <w:p>
            <w:pPr>
              <w:adjustRightInd w:val="0"/>
              <w:snapToGrid w:val="0"/>
              <w:spacing w:line="4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5</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专用机油</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升</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80" w:lineRule="exact"/>
              <w:jc w:val="center"/>
              <w:rPr>
                <w:rFonts w:ascii="仿宋" w:hAnsi="仿宋" w:eastAsia="仿宋"/>
                <w:sz w:val="24"/>
              </w:rPr>
            </w:pPr>
            <w:r>
              <w:rPr>
                <w:rFonts w:hint="eastAsia" w:ascii="仿宋" w:hAnsi="仿宋" w:eastAsia="仿宋"/>
                <w:sz w:val="24"/>
                <w:lang w:val="en-US" w:eastAsia="zh-CN"/>
              </w:rPr>
              <w:t>35</w:t>
            </w:r>
          </w:p>
        </w:tc>
        <w:tc>
          <w:tcPr>
            <w:tcW w:w="2013" w:type="dxa"/>
            <w:shd w:val="clear" w:color="auto" w:fill="auto"/>
          </w:tcPr>
          <w:p>
            <w:pPr>
              <w:adjustRightInd w:val="0"/>
              <w:snapToGrid w:val="0"/>
              <w:spacing w:line="480" w:lineRule="exact"/>
              <w:jc w:val="left"/>
              <w:rPr>
                <w:rFonts w:ascii="仿宋" w:hAnsi="仿宋" w:eastAsia="仿宋"/>
                <w:color w:val="00B05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520" w:lineRule="exact"/>
              <w:jc w:val="center"/>
              <w:rPr>
                <w:rFonts w:ascii="仿宋" w:hAnsi="仿宋" w:eastAsia="仿宋"/>
                <w:sz w:val="24"/>
              </w:rPr>
            </w:pPr>
            <w:r>
              <w:rPr>
                <w:rFonts w:hint="eastAsia" w:ascii="仿宋" w:hAnsi="仿宋" w:eastAsia="仿宋"/>
                <w:sz w:val="24"/>
              </w:rPr>
              <w:t>6</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空气滤清器</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件</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650</w:t>
            </w:r>
          </w:p>
        </w:tc>
        <w:tc>
          <w:tcPr>
            <w:tcW w:w="2013" w:type="dxa"/>
            <w:shd w:val="clear" w:color="auto" w:fill="auto"/>
          </w:tcPr>
          <w:p>
            <w:pPr>
              <w:adjustRightInd w:val="0"/>
              <w:snapToGrid w:val="0"/>
              <w:spacing w:line="48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lang w:val="en-US" w:eastAsia="zh-CN"/>
              </w:rPr>
              <w:t>75</w:t>
            </w:r>
            <w:r>
              <w:rPr>
                <w:rFonts w:hint="eastAsia" w:ascii="仿宋" w:hAnsi="仿宋" w:eastAsia="仿宋"/>
                <w:sz w:val="24"/>
              </w:rPr>
              <w:t>0KW柴油发电机组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柴油油水分离器</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170</w:t>
            </w:r>
          </w:p>
        </w:tc>
        <w:tc>
          <w:tcPr>
            <w:tcW w:w="2013" w:type="dxa"/>
            <w:shd w:val="clear" w:color="auto" w:fill="auto"/>
          </w:tcPr>
          <w:p>
            <w:pPr>
              <w:adjustRightInd w:val="0"/>
              <w:snapToGrid w:val="0"/>
              <w:spacing w:line="4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2</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机油滤清器（全流）</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230</w:t>
            </w:r>
          </w:p>
        </w:tc>
        <w:tc>
          <w:tcPr>
            <w:tcW w:w="2013" w:type="dxa"/>
            <w:shd w:val="clear" w:color="auto" w:fill="auto"/>
          </w:tcPr>
          <w:p>
            <w:pPr>
              <w:adjustRightInd w:val="0"/>
              <w:snapToGrid w:val="0"/>
              <w:spacing w:line="4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3</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机油滤清器（旁通）</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240</w:t>
            </w:r>
          </w:p>
        </w:tc>
        <w:tc>
          <w:tcPr>
            <w:tcW w:w="2013" w:type="dxa"/>
            <w:shd w:val="clear" w:color="auto" w:fill="auto"/>
          </w:tcPr>
          <w:p>
            <w:pPr>
              <w:adjustRightInd w:val="0"/>
              <w:snapToGrid w:val="0"/>
              <w:spacing w:line="4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4</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水滤清器</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只</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185</w:t>
            </w:r>
          </w:p>
        </w:tc>
        <w:tc>
          <w:tcPr>
            <w:tcW w:w="2013" w:type="dxa"/>
            <w:shd w:val="clear" w:color="auto" w:fill="auto"/>
          </w:tcPr>
          <w:p>
            <w:pPr>
              <w:adjustRightInd w:val="0"/>
              <w:snapToGrid w:val="0"/>
              <w:spacing w:line="42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5</w:t>
            </w:r>
          </w:p>
        </w:tc>
        <w:tc>
          <w:tcPr>
            <w:tcW w:w="2675" w:type="dxa"/>
            <w:gridSpan w:val="2"/>
            <w:shd w:val="clear" w:color="auto" w:fill="auto"/>
          </w:tcPr>
          <w:p>
            <w:pPr>
              <w:adjustRightInd w:val="0"/>
              <w:snapToGrid w:val="0"/>
              <w:spacing w:line="480" w:lineRule="exact"/>
              <w:jc w:val="left"/>
              <w:rPr>
                <w:rFonts w:ascii="仿宋" w:hAnsi="仿宋" w:eastAsia="仿宋"/>
                <w:sz w:val="24"/>
              </w:rPr>
            </w:pPr>
            <w:r>
              <w:rPr>
                <w:rFonts w:hint="eastAsia" w:ascii="仿宋" w:hAnsi="仿宋" w:eastAsia="仿宋"/>
                <w:sz w:val="24"/>
              </w:rPr>
              <w:t>专用机油</w:t>
            </w:r>
          </w:p>
        </w:tc>
        <w:tc>
          <w:tcPr>
            <w:tcW w:w="874"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升</w:t>
            </w:r>
          </w:p>
        </w:tc>
        <w:tc>
          <w:tcPr>
            <w:tcW w:w="1092" w:type="dxa"/>
            <w:shd w:val="clear" w:color="auto" w:fill="auto"/>
          </w:tcPr>
          <w:p>
            <w:pPr>
              <w:adjustRightInd w:val="0"/>
              <w:snapToGrid w:val="0"/>
              <w:spacing w:line="48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80" w:lineRule="exact"/>
              <w:jc w:val="center"/>
              <w:rPr>
                <w:rFonts w:ascii="仿宋" w:hAnsi="仿宋" w:eastAsia="仿宋"/>
                <w:sz w:val="24"/>
              </w:rPr>
            </w:pPr>
            <w:r>
              <w:rPr>
                <w:rFonts w:hint="eastAsia" w:ascii="仿宋" w:hAnsi="仿宋" w:eastAsia="仿宋"/>
                <w:sz w:val="24"/>
                <w:lang w:val="en-US" w:eastAsia="zh-CN"/>
              </w:rPr>
              <w:t>35</w:t>
            </w:r>
          </w:p>
        </w:tc>
        <w:tc>
          <w:tcPr>
            <w:tcW w:w="2013" w:type="dxa"/>
            <w:shd w:val="clear" w:color="auto" w:fill="auto"/>
          </w:tcPr>
          <w:p>
            <w:pPr>
              <w:adjustRightInd w:val="0"/>
              <w:snapToGrid w:val="0"/>
              <w:spacing w:line="420" w:lineRule="exact"/>
              <w:jc w:val="left"/>
              <w:rPr>
                <w:rFonts w:ascii="仿宋" w:hAnsi="仿宋" w:eastAsia="仿宋"/>
                <w:color w:val="00B05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6</w:t>
            </w:r>
          </w:p>
        </w:tc>
        <w:tc>
          <w:tcPr>
            <w:tcW w:w="2675" w:type="dxa"/>
            <w:gridSpan w:val="2"/>
            <w:shd w:val="clear" w:color="auto" w:fill="auto"/>
          </w:tcPr>
          <w:p>
            <w:pPr>
              <w:adjustRightInd w:val="0"/>
              <w:snapToGrid w:val="0"/>
              <w:spacing w:line="420" w:lineRule="exact"/>
              <w:jc w:val="left"/>
              <w:rPr>
                <w:rFonts w:ascii="仿宋" w:hAnsi="仿宋" w:eastAsia="仿宋"/>
                <w:sz w:val="24"/>
              </w:rPr>
            </w:pPr>
            <w:r>
              <w:rPr>
                <w:rFonts w:hint="eastAsia" w:ascii="仿宋" w:hAnsi="仿宋" w:eastAsia="仿宋"/>
                <w:sz w:val="24"/>
              </w:rPr>
              <w:t>空气滤清器</w:t>
            </w:r>
          </w:p>
        </w:tc>
        <w:tc>
          <w:tcPr>
            <w:tcW w:w="874"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件</w:t>
            </w:r>
          </w:p>
        </w:tc>
        <w:tc>
          <w:tcPr>
            <w:tcW w:w="1092" w:type="dxa"/>
            <w:shd w:val="clear" w:color="auto" w:fill="auto"/>
          </w:tcPr>
          <w:p>
            <w:pPr>
              <w:adjustRightInd w:val="0"/>
              <w:snapToGrid w:val="0"/>
              <w:spacing w:line="420" w:lineRule="exact"/>
              <w:jc w:val="center"/>
              <w:rPr>
                <w:rFonts w:ascii="仿宋" w:hAnsi="仿宋" w:eastAsia="仿宋"/>
                <w:sz w:val="24"/>
              </w:rPr>
            </w:pPr>
            <w:r>
              <w:rPr>
                <w:rFonts w:hint="eastAsia" w:ascii="仿宋" w:hAnsi="仿宋" w:eastAsia="仿宋"/>
                <w:sz w:val="24"/>
              </w:rPr>
              <w:t>1</w:t>
            </w:r>
          </w:p>
        </w:tc>
        <w:tc>
          <w:tcPr>
            <w:tcW w:w="1056" w:type="dxa"/>
            <w:shd w:val="clear" w:color="auto" w:fill="auto"/>
            <w:vAlign w:val="top"/>
          </w:tcPr>
          <w:p>
            <w:pPr>
              <w:adjustRightInd w:val="0"/>
              <w:snapToGrid w:val="0"/>
              <w:spacing w:line="420" w:lineRule="exact"/>
              <w:jc w:val="center"/>
              <w:rPr>
                <w:rFonts w:ascii="仿宋" w:hAnsi="仿宋" w:eastAsia="仿宋"/>
                <w:sz w:val="24"/>
              </w:rPr>
            </w:pPr>
            <w:r>
              <w:rPr>
                <w:rFonts w:hint="eastAsia" w:ascii="仿宋" w:hAnsi="仿宋" w:eastAsia="仿宋"/>
                <w:sz w:val="24"/>
                <w:lang w:val="en-US" w:eastAsia="zh-CN"/>
              </w:rPr>
              <w:t>690</w:t>
            </w:r>
          </w:p>
        </w:tc>
        <w:tc>
          <w:tcPr>
            <w:tcW w:w="2013" w:type="dxa"/>
            <w:shd w:val="clear" w:color="auto" w:fill="auto"/>
          </w:tcPr>
          <w:p>
            <w:pPr>
              <w:adjustRightInd w:val="0"/>
              <w:snapToGrid w:val="0"/>
              <w:spacing w:line="420" w:lineRule="exact"/>
              <w:jc w:val="left"/>
              <w:rPr>
                <w:rFonts w:ascii="仿宋" w:hAnsi="仿宋" w:eastAsia="仿宋"/>
                <w:sz w:val="24"/>
              </w:rPr>
            </w:pPr>
          </w:p>
        </w:tc>
      </w:tr>
    </w:tbl>
    <w:p>
      <w:pPr>
        <w:adjustRightInd w:val="0"/>
        <w:snapToGrid w:val="0"/>
        <w:spacing w:line="520" w:lineRule="exact"/>
        <w:ind w:firstLine="140" w:firstLineChars="50"/>
        <w:jc w:val="left"/>
        <w:rPr>
          <w:rFonts w:ascii="仿宋" w:hAnsi="仿宋" w:eastAsia="仿宋"/>
          <w:sz w:val="28"/>
          <w:szCs w:val="28"/>
        </w:rPr>
      </w:pPr>
    </w:p>
    <w:p>
      <w:pPr>
        <w:adjustRightInd w:val="0"/>
        <w:snapToGrid w:val="0"/>
        <w:spacing w:line="520" w:lineRule="exact"/>
        <w:ind w:left="360"/>
        <w:rPr>
          <w:rFonts w:ascii="仿宋" w:hAnsi="仿宋" w:eastAsia="仿宋"/>
          <w:sz w:val="28"/>
          <w:szCs w:val="28"/>
        </w:rPr>
      </w:pPr>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E85CEB-3161-41FC-BC93-D8F72A84CB38}"/>
  </w:font>
  <w:font w:name="方正仿宋_GBK">
    <w:altName w:val="Arial Unicode MS"/>
    <w:panose1 w:val="03000509000000000000"/>
    <w:charset w:val="86"/>
    <w:family w:val="script"/>
    <w:pitch w:val="default"/>
    <w:sig w:usb0="00000000" w:usb1="00000000" w:usb2="00000010" w:usb3="00000000" w:csb0="00040000" w:csb1="00000000"/>
    <w:embedRegular r:id="rId2" w:fontKey="{8531A44A-66D8-4A41-970F-9EB4F214FDFE}"/>
  </w:font>
  <w:font w:name="方正小标宋_GBK">
    <w:panose1 w:val="02000000000000000000"/>
    <w:charset w:val="86"/>
    <w:family w:val="script"/>
    <w:pitch w:val="default"/>
    <w:sig w:usb0="A00002BF" w:usb1="38CF7CFA" w:usb2="00082016" w:usb3="00000000" w:csb0="00040001" w:csb1="00000000"/>
    <w:embedRegular r:id="rId3" w:fontKey="{559EBEA8-9A26-411C-8945-304BB1ABF77E}"/>
  </w:font>
  <w:font w:name="方正黑体_GBK">
    <w:altName w:val="Arial Unicode MS"/>
    <w:panose1 w:val="03000509000000000000"/>
    <w:charset w:val="86"/>
    <w:family w:val="script"/>
    <w:pitch w:val="default"/>
    <w:sig w:usb0="00000000" w:usb1="00000000" w:usb2="00000010" w:usb3="00000000" w:csb0="00040000" w:csb1="00000000"/>
    <w:embedRegular r:id="rId4" w:fontKey="{EB87DE81-C0FE-455E-936B-FA89C19D6918}"/>
  </w:font>
  <w:font w:name="仿宋">
    <w:panose1 w:val="02010609060101010101"/>
    <w:charset w:val="86"/>
    <w:family w:val="modern"/>
    <w:pitch w:val="default"/>
    <w:sig w:usb0="800002BF" w:usb1="38CF7CFA" w:usb2="00000016" w:usb3="00000000" w:csb0="00040001" w:csb1="00000000"/>
    <w:embedRegular r:id="rId5" w:fontKey="{9080E29B-9BD9-40D0-89EE-01AD5A3E235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MzQwNjRkMDgzZGRkYTRmODdmZWRiYjg2OWZlYTAifQ=="/>
  </w:docVars>
  <w:rsids>
    <w:rsidRoot w:val="424A377A"/>
    <w:rsid w:val="12643541"/>
    <w:rsid w:val="2E271C28"/>
    <w:rsid w:val="424A377A"/>
    <w:rsid w:val="6B8B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2592</Words>
  <Characters>2741</Characters>
  <Lines>0</Lines>
  <Paragraphs>0</Paragraphs>
  <TotalTime>1</TotalTime>
  <ScaleCrop>false</ScaleCrop>
  <LinksUpToDate>false</LinksUpToDate>
  <CharactersWithSpaces>2751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2023-06-05T06:48:00Z</dcterms:created>
  <dc:creator>地主</dc:creator>
  <cp:lastModifiedBy>地主</cp:lastModifiedBy>
  <dcterms:modified xsi:type="dcterms:W3CDTF">2023-06-06T00:09:17Z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8C642E8963DB4EDA8D05175BB8828552_13</vt:lpwstr>
  </property>
</Properties>
</file>