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rPr>
          <w:rFonts w:hint="default" w:ascii="Times New Roman" w:hAnsi="Times New Roman" w:eastAsia="方正小标宋_GBK"/>
          <w:kern w:val="0"/>
          <w:sz w:val="36"/>
          <w:szCs w:val="36"/>
        </w:rPr>
      </w:pPr>
      <w:r>
        <w:rPr>
          <w:rFonts w:hint="eastAsia" w:ascii="Times New Roman" w:hAnsi="Times New Roman" w:eastAsia="方正小标宋_GBK" w:cs="Times New Roman"/>
          <w:kern w:val="0"/>
          <w:sz w:val="36"/>
          <w:szCs w:val="36"/>
          <w:lang w:val="en-US" w:eastAsia="zh-CN"/>
        </w:rPr>
        <w:t>学生宿舍（A-H栋）消防设施更换维修</w:t>
      </w:r>
      <w:r>
        <w:rPr>
          <w:rFonts w:hint="default" w:ascii="Times New Roman" w:hAnsi="Times New Roman" w:eastAsia="方正小标宋_GBK" w:cs="Times New Roman"/>
          <w:kern w:val="0"/>
          <w:sz w:val="36"/>
          <w:szCs w:val="36"/>
        </w:rPr>
        <w:t>采</w:t>
      </w:r>
      <w:r>
        <w:rPr>
          <w:rFonts w:hint="default" w:ascii="Times New Roman" w:hAnsi="Times New Roman" w:eastAsia="方正小标宋_GBK"/>
          <w:kern w:val="0"/>
          <w:sz w:val="36"/>
          <w:szCs w:val="36"/>
        </w:rPr>
        <w:t>购清单及预算</w:t>
      </w:r>
    </w:p>
    <w:p>
      <w:pPr>
        <w:pStyle w:val="4"/>
        <w:shd w:val="clear" w:color="auto" w:fill="FFFFFF"/>
        <w:rPr>
          <w:rFonts w:hint="default" w:ascii="Times New Roman" w:hAnsi="Times New Roman" w:eastAsia="仿宋_GB2312"/>
          <w:kern w:val="0"/>
          <w:sz w:val="20"/>
          <w:szCs w:val="20"/>
        </w:rPr>
      </w:pPr>
      <w:r>
        <w:rPr>
          <w:rFonts w:hint="default" w:ascii="Times New Roman" w:hAnsi="Times New Roman" w:eastAsia="仿宋_GB2312"/>
          <w:kern w:val="0"/>
          <w:sz w:val="24"/>
        </w:rPr>
        <w:t xml:space="preserve">计量单位：套、台、个、张              </w:t>
      </w:r>
      <w:r>
        <w:rPr>
          <w:rFonts w:hint="eastAsia" w:ascii="Times New Roman" w:hAnsi="Times New Roman" w:eastAsia="仿宋_GB2312"/>
          <w:kern w:val="0"/>
          <w:sz w:val="24"/>
          <w:lang w:val="en-US" w:eastAsia="zh-CN"/>
        </w:rPr>
        <w:t xml:space="preserve">                                                           </w:t>
      </w:r>
      <w:r>
        <w:rPr>
          <w:rFonts w:hint="default" w:ascii="Times New Roman" w:hAnsi="Times New Roman" w:eastAsia="仿宋_GB2312"/>
          <w:kern w:val="0"/>
          <w:sz w:val="24"/>
        </w:rPr>
        <w:t>计价单位：元</w:t>
      </w:r>
    </w:p>
    <w:tbl>
      <w:tblPr>
        <w:tblStyle w:val="6"/>
        <w:tblW w:w="13712" w:type="dxa"/>
        <w:jc w:val="center"/>
        <w:tblLayout w:type="fixed"/>
        <w:tblCellMar>
          <w:top w:w="0" w:type="dxa"/>
          <w:left w:w="108" w:type="dxa"/>
          <w:bottom w:w="0" w:type="dxa"/>
          <w:right w:w="108" w:type="dxa"/>
        </w:tblCellMar>
      </w:tblPr>
      <w:tblGrid>
        <w:gridCol w:w="790"/>
        <w:gridCol w:w="2304"/>
        <w:gridCol w:w="1582"/>
        <w:gridCol w:w="5496"/>
        <w:gridCol w:w="872"/>
        <w:gridCol w:w="1050"/>
        <w:gridCol w:w="1618"/>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黑体"/>
                <w:sz w:val="24"/>
              </w:rPr>
            </w:pPr>
            <w:r>
              <w:rPr>
                <w:rFonts w:hint="default" w:eastAsia="黑体"/>
                <w:kern w:val="0"/>
                <w:sz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单价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p>
        </w:tc>
      </w:tr>
      <w:tr>
        <w:tblPrEx>
          <w:tblCellMar>
            <w:top w:w="0" w:type="dxa"/>
            <w:left w:w="108" w:type="dxa"/>
            <w:bottom w:w="0" w:type="dxa"/>
            <w:right w:w="108" w:type="dxa"/>
          </w:tblCellMar>
        </w:tblPrEx>
        <w:trPr>
          <w:trHeight w:val="9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广播</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872"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36</w:t>
            </w:r>
          </w:p>
        </w:tc>
        <w:tc>
          <w:tcPr>
            <w:tcW w:w="1050"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2520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手动报警器</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30</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rPr>
            </w:pPr>
            <w:r>
              <w:rPr>
                <w:rFonts w:hint="eastAsia" w:eastAsia="黑体"/>
                <w:kern w:val="0"/>
                <w:sz w:val="24"/>
              </w:rPr>
              <w:t>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eastAsia="黑体" w:cs="Times New Roman"/>
                <w:kern w:val="0"/>
                <w:sz w:val="24"/>
                <w:lang w:val="en-US" w:eastAsia="zh-CN"/>
              </w:rPr>
              <w:t>拆除、安装</w:t>
            </w:r>
            <w:r>
              <w:rPr>
                <w:rFonts w:hint="eastAsia" w:ascii="Times New Roman" w:hAnsi="Times New Roman" w:eastAsia="黑体" w:cs="Times New Roman"/>
                <w:kern w:val="0"/>
                <w:sz w:val="24"/>
                <w:lang w:val="en-US" w:eastAsia="zh-CN"/>
              </w:rPr>
              <w:t>烟感</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254</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17780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lang w:val="en-US" w:eastAsia="zh-CN"/>
              </w:rPr>
            </w:pPr>
            <w:r>
              <w:rPr>
                <w:rFonts w:hint="eastAsia" w:eastAsia="黑体"/>
                <w:kern w:val="0"/>
                <w:sz w:val="24"/>
                <w:lang w:val="en-US" w:eastAsia="zh-CN"/>
              </w:rPr>
              <w:t>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火灾显示盘</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8</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560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5</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eastAsia="黑体" w:cs="Times New Roman"/>
                <w:kern w:val="0"/>
                <w:sz w:val="24"/>
                <w:lang w:val="en-US" w:eastAsia="zh-CN"/>
              </w:rPr>
              <w:t>新增</w:t>
            </w:r>
            <w:r>
              <w:rPr>
                <w:rFonts w:hint="eastAsia" w:ascii="Times New Roman" w:hAnsi="Times New Roman" w:eastAsia="黑体" w:cs="Times New Roman"/>
                <w:kern w:val="0"/>
                <w:sz w:val="24"/>
                <w:lang w:val="en-US" w:eastAsia="zh-CN"/>
              </w:rPr>
              <w:t>指示牌</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10</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33.5</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335</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6</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default" w:ascii="Times New Roman" w:hAnsi="Times New Roman" w:eastAsia="黑体" w:cs="Times New Roman"/>
                <w:kern w:val="0"/>
                <w:sz w:val="24"/>
                <w:lang w:val="en-US" w:eastAsia="zh-CN"/>
              </w:rPr>
              <w:t>查找及更换线路</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3</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7</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eastAsia="黑体" w:cs="Times New Roman"/>
                <w:kern w:val="0"/>
                <w:sz w:val="24"/>
                <w:lang w:val="en-US" w:eastAsia="zh-CN"/>
              </w:rPr>
              <w:t>拆除、安装</w:t>
            </w:r>
            <w:r>
              <w:rPr>
                <w:rFonts w:hint="eastAsia" w:ascii="Times New Roman" w:hAnsi="Times New Roman" w:eastAsia="黑体" w:cs="Times New Roman"/>
                <w:kern w:val="0"/>
                <w:sz w:val="24"/>
                <w:lang w:val="en-US" w:eastAsia="zh-CN"/>
              </w:rPr>
              <w:t>应急照明灯</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76</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5320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8</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eastAsia="黑体" w:cs="Times New Roman"/>
                <w:kern w:val="0"/>
                <w:sz w:val="24"/>
                <w:lang w:val="en-US" w:eastAsia="zh-CN"/>
              </w:rPr>
              <w:t>拆除、安装</w:t>
            </w:r>
            <w:r>
              <w:rPr>
                <w:rFonts w:hint="eastAsia" w:ascii="Times New Roman" w:hAnsi="Times New Roman" w:eastAsia="黑体" w:cs="Times New Roman"/>
                <w:kern w:val="0"/>
                <w:sz w:val="24"/>
                <w:lang w:val="en-US" w:eastAsia="zh-CN"/>
              </w:rPr>
              <w:t>指示牌</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72</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5040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9</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加装BV-R2.5mm2电源线</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225</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5</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1125</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声光报警器</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30</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2100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模块</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16</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1120</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eastAsia="黑体" w:cs="Times New Roman"/>
                <w:kern w:val="0"/>
                <w:sz w:val="24"/>
                <w:lang w:val="en-US" w:eastAsia="zh-CN"/>
              </w:rPr>
              <w:t>新增</w:t>
            </w:r>
            <w:r>
              <w:rPr>
                <w:rFonts w:hint="eastAsia" w:ascii="Times New Roman" w:hAnsi="Times New Roman" w:eastAsia="黑体" w:cs="Times New Roman"/>
                <w:kern w:val="0"/>
                <w:sz w:val="24"/>
                <w:lang w:val="en-US" w:eastAsia="zh-CN"/>
              </w:rPr>
              <w:t>烟感</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90</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70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6300</w:t>
            </w:r>
          </w:p>
        </w:tc>
      </w:tr>
      <w:tr>
        <w:tblPrEx>
          <w:tblCellMar>
            <w:top w:w="0" w:type="dxa"/>
            <w:left w:w="108" w:type="dxa"/>
            <w:bottom w:w="0" w:type="dxa"/>
            <w:right w:w="108" w:type="dxa"/>
          </w:tblCellMar>
        </w:tblPrEx>
        <w:trPr>
          <w:trHeight w:val="631"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eastAsia="黑体" w:cs="Times New Roman"/>
                <w:kern w:val="0"/>
                <w:sz w:val="24"/>
                <w:lang w:val="en-US" w:eastAsia="zh-CN"/>
              </w:rPr>
              <w:t>新增</w:t>
            </w:r>
            <w:bookmarkStart w:id="2" w:name="_GoBack"/>
            <w:bookmarkEnd w:id="2"/>
            <w:r>
              <w:rPr>
                <w:rFonts w:hint="eastAsia" w:ascii="Times New Roman" w:hAnsi="Times New Roman" w:eastAsia="黑体" w:cs="Times New Roman"/>
                <w:kern w:val="0"/>
                <w:sz w:val="24"/>
                <w:lang w:val="en-US" w:eastAsia="zh-CN"/>
              </w:rPr>
              <w:t>应急照明灯</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20</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lang w:val="en-US" w:eastAsia="zh-CN"/>
              </w:rPr>
            </w:pPr>
            <w:r>
              <w:rPr>
                <w:rFonts w:hint="eastAsia" w:ascii="Times New Roman" w:hAnsi="Times New Roman" w:eastAsia="黑体" w:cs="Times New Roman"/>
                <w:kern w:val="0"/>
                <w:sz w:val="24"/>
                <w:lang w:val="en-US" w:eastAsia="zh-CN"/>
              </w:rPr>
              <w:t>80</w:t>
            </w: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1600</w:t>
            </w:r>
          </w:p>
        </w:tc>
      </w:tr>
      <w:tr>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合计</w:t>
            </w:r>
          </w:p>
        </w:tc>
        <w:tc>
          <w:tcPr>
            <w:tcW w:w="9382" w:type="dxa"/>
            <w:gridSpan w:val="3"/>
            <w:tcBorders>
              <w:top w:val="nil"/>
              <w:left w:val="nil"/>
              <w:bottom w:val="single" w:color="000000" w:sz="8" w:space="0"/>
              <w:right w:val="single" w:color="auto" w:sz="4" w:space="0"/>
            </w:tcBorders>
            <w:noWrap w:val="0"/>
            <w:vAlign w:val="center"/>
          </w:tcPr>
          <w:p>
            <w:pPr>
              <w:widowControl/>
              <w:jc w:val="left"/>
              <w:rPr>
                <w:rFonts w:hint="default" w:eastAsia="黑体"/>
                <w:kern w:val="0"/>
                <w:sz w:val="24"/>
                <w:lang w:val="en-US" w:eastAsia="zh-CN"/>
              </w:rPr>
            </w:pPr>
            <w:r>
              <w:rPr>
                <w:rFonts w:hint="default" w:eastAsia="黑体"/>
                <w:kern w:val="0"/>
                <w:sz w:val="24"/>
              </w:rPr>
              <w:t>人民币大写：</w:t>
            </w:r>
            <w:r>
              <w:rPr>
                <w:rFonts w:hint="eastAsia" w:eastAsia="黑体"/>
                <w:kern w:val="0"/>
                <w:sz w:val="24"/>
                <w:lang w:val="en-US" w:eastAsia="zh-CN"/>
              </w:rPr>
              <w:t>肆万捌仟元整</w:t>
            </w:r>
            <w:r>
              <w:rPr>
                <w:rFonts w:hint="eastAsia" w:eastAsia="黑体"/>
                <w:color w:val="FF0000"/>
                <w:kern w:val="0"/>
                <w:sz w:val="24"/>
                <w:lang w:val="en-US" w:eastAsia="zh-CN"/>
              </w:rPr>
              <w:t>（</w:t>
            </w:r>
            <w:r>
              <w:rPr>
                <w:rFonts w:hint="eastAsia" w:ascii="宋体" w:hAnsi="宋体" w:cs="宋体"/>
                <w:b/>
                <w:bCs/>
                <w:i w:val="0"/>
                <w:iCs w:val="0"/>
                <w:color w:val="FF0000"/>
                <w:kern w:val="0"/>
                <w:sz w:val="22"/>
                <w:szCs w:val="22"/>
                <w:u w:val="none"/>
                <w:lang w:val="en-US" w:eastAsia="zh-CN" w:bidi="ar"/>
              </w:rPr>
              <w:t>此预算价应包含人工服务费</w:t>
            </w:r>
            <w:r>
              <w:rPr>
                <w:rFonts w:hint="eastAsia" w:eastAsia="黑体"/>
                <w:color w:val="FF0000"/>
                <w:kern w:val="0"/>
                <w:sz w:val="24"/>
                <w:lang w:val="en-US" w:eastAsia="zh-CN"/>
              </w:rPr>
              <w:t>）</w:t>
            </w:r>
          </w:p>
        </w:tc>
        <w:tc>
          <w:tcPr>
            <w:tcW w:w="872" w:type="dxa"/>
            <w:tcBorders>
              <w:top w:val="nil"/>
              <w:left w:val="single" w:color="auto" w:sz="4"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p>
        </w:tc>
        <w:tc>
          <w:tcPr>
            <w:tcW w:w="1050" w:type="dxa"/>
            <w:tcBorders>
              <w:top w:val="nil"/>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p>
        </w:tc>
        <w:tc>
          <w:tcPr>
            <w:tcW w:w="1618" w:type="dxa"/>
            <w:tcBorders>
              <w:top w:val="nil"/>
              <w:left w:val="nil"/>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22"/>
                <w:szCs w:val="22"/>
                <w:u w:val="none"/>
                <w:lang w:val="en-US" w:eastAsia="zh-CN" w:bidi="ar"/>
              </w:rPr>
              <w:t>　</w:t>
            </w:r>
            <w:r>
              <w:rPr>
                <w:rFonts w:hint="eastAsia" w:ascii="宋体" w:hAnsi="宋体" w:eastAsia="宋体" w:cs="宋体"/>
                <w:b/>
                <w:bCs/>
                <w:i w:val="0"/>
                <w:iCs w:val="0"/>
                <w:color w:val="000000"/>
                <w:kern w:val="0"/>
                <w:sz w:val="22"/>
                <w:szCs w:val="22"/>
                <w:u w:val="none"/>
                <w:lang w:val="en-US" w:eastAsia="zh-CN" w:bidi="ar"/>
              </w:rPr>
              <w:t>48000</w:t>
            </w:r>
          </w:p>
        </w:tc>
      </w:tr>
    </w:tbl>
    <w:p>
      <w:pPr>
        <w:rPr>
          <w:rFonts w:hint="default" w:eastAsia="宋体"/>
          <w:lang w:val="en-US" w:eastAsia="zh-CN"/>
        </w:rPr>
        <w:sectPr>
          <w:pgSz w:w="16838" w:h="11906" w:orient="landscape"/>
          <w:pgMar w:top="1800" w:right="1440" w:bottom="1800" w:left="1440" w:header="851" w:footer="992" w:gutter="0"/>
          <w:cols w:space="425" w:num="1"/>
          <w:docGrid w:type="lines" w:linePitch="312" w:charSpace="0"/>
        </w:sectPr>
      </w:pPr>
    </w:p>
    <w:p>
      <w:pPr>
        <w:pStyle w:val="4"/>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pPr>
        <w:pStyle w:val="2"/>
        <w:spacing w:before="0" w:after="0" w:line="440" w:lineRule="exact"/>
        <w:rPr>
          <w:rFonts w:hint="default"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交货</w:t>
      </w:r>
      <w:r>
        <w:rPr>
          <w:rFonts w:hint="eastAsia" w:ascii="方正仿宋_GBK" w:hAnsi="宋体" w:eastAsia="方正仿宋_GBK"/>
          <w:sz w:val="24"/>
          <w:szCs w:val="24"/>
          <w:lang w:val="en-US" w:eastAsia="zh-CN"/>
        </w:rPr>
        <w:t>/实施</w:t>
      </w:r>
      <w:r>
        <w:rPr>
          <w:rFonts w:hint="eastAsia" w:ascii="方正仿宋_GBK" w:hAnsi="宋体" w:eastAsia="方正仿宋_GBK"/>
          <w:sz w:val="24"/>
          <w:szCs w:val="24"/>
        </w:rPr>
        <w:t>时间、地点及验收方式</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时间</w:t>
      </w:r>
    </w:p>
    <w:p>
      <w:pPr>
        <w:pStyle w:val="5"/>
        <w:tabs>
          <w:tab w:val="left" w:pos="4905"/>
        </w:tabs>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1.签订合同后30个日历日</w:t>
      </w:r>
      <w:r>
        <w:rPr>
          <w:rFonts w:hint="eastAsia" w:ascii="方正仿宋_GBK" w:hAnsi="宋体" w:eastAsia="方正仿宋_GBK"/>
          <w:color w:val="000000" w:themeColor="text1"/>
          <w:sz w:val="24"/>
          <w:szCs w:val="24"/>
          <w:lang w:eastAsia="zh-CN"/>
          <w14:textFill>
            <w14:solidFill>
              <w14:schemeClr w14:val="tx1"/>
            </w14:solidFill>
          </w14:textFill>
        </w:rPr>
        <w:t>内</w:t>
      </w:r>
      <w:r>
        <w:rPr>
          <w:rFonts w:hint="eastAsia" w:ascii="方正仿宋_GBK" w:hAnsi="宋体" w:eastAsia="方正仿宋_GBK"/>
          <w:color w:val="000000" w:themeColor="text1"/>
          <w:sz w:val="24"/>
          <w:szCs w:val="24"/>
          <w14:textFill>
            <w14:solidFill>
              <w14:schemeClr w14:val="tx1"/>
            </w14:solidFill>
          </w14:textFill>
        </w:rPr>
        <w:t>完成</w:t>
      </w:r>
      <w:r>
        <w:rPr>
          <w:rFonts w:hint="eastAsia" w:ascii="方正仿宋_GBK" w:hAnsi="宋体" w:eastAsia="方正仿宋_GBK"/>
          <w:color w:val="000000" w:themeColor="text1"/>
          <w:sz w:val="24"/>
          <w:szCs w:val="24"/>
          <w:lang w:eastAsia="zh-CN"/>
          <w14:textFill>
            <w14:solidFill>
              <w14:schemeClr w14:val="tx1"/>
            </w14:solidFill>
          </w14:textFill>
        </w:rPr>
        <w:t>合同约定的所有内容</w:t>
      </w:r>
      <w:r>
        <w:rPr>
          <w:rFonts w:hint="eastAsia" w:ascii="方正仿宋_GBK" w:hAnsi="宋体" w:eastAsia="方正仿宋_GBK"/>
          <w:color w:val="000000" w:themeColor="text1"/>
          <w:sz w:val="24"/>
          <w:szCs w:val="24"/>
          <w14:textFill>
            <w14:solidFill>
              <w14:schemeClr w14:val="tx1"/>
            </w14:solidFill>
          </w14:textFill>
        </w:rPr>
        <w:t>。</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地点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学生宿舍A-H栋</w:t>
      </w:r>
      <w:r>
        <w:rPr>
          <w:rFonts w:hint="eastAsia" w:ascii="方正仿宋_GBK" w:hAnsi="宋体" w:eastAsia="方正仿宋_GBK"/>
          <w:color w:val="000000" w:themeColor="text1"/>
          <w:sz w:val="24"/>
          <w:szCs w:val="24"/>
          <w14:textFill>
            <w14:solidFill>
              <w14:schemeClr w14:val="tx1"/>
            </w14:solidFill>
          </w14:textFill>
        </w:rPr>
        <w:t>。</w:t>
      </w:r>
    </w:p>
    <w:p>
      <w:pPr>
        <w:pStyle w:val="5"/>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（三）验收方式</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3.2货物技术资料、装箱单、合格证等资料齐全。</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3.3在规定时间内完成交货并验收，并经采购人确认。</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4.供应商提供的货物未达到</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5.大型或者复杂的政府采购产品项目，采购人可邀请国家认可的质量检测机构参加验收工作。</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6.采购人需要制造商对成交供应商交付的产品（包括质量、技术参数等）进行确认的，制造商应予以配合，并出具书面意见。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7.产品包装材料归采购人所有。</w:t>
      </w:r>
    </w:p>
    <w:p>
      <w:pPr>
        <w:pStyle w:val="2"/>
        <w:spacing w:before="0" w:after="0" w:line="440" w:lineRule="exact"/>
        <w:rPr>
          <w:rFonts w:hint="eastAsia" w:ascii="方正仿宋_GBK" w:hAnsi="宋体" w:eastAsia="方正仿宋_GBK" w:cs="Times New Roman"/>
          <w:b/>
          <w:color w:val="000000" w:themeColor="text1"/>
          <w:sz w:val="24"/>
          <w:szCs w:val="24"/>
          <w14:textFill>
            <w14:solidFill>
              <w14:schemeClr w14:val="tx1"/>
            </w14:solidFill>
          </w14:textFill>
        </w:rPr>
      </w:pPr>
      <w:r>
        <w:rPr>
          <w:rFonts w:hint="eastAsia" w:ascii="方正仿宋_GBK" w:hAnsi="宋体" w:eastAsia="方正仿宋_GBK" w:cs="Times New Roman"/>
          <w:b/>
          <w:color w:val="000000" w:themeColor="text1"/>
          <w:sz w:val="24"/>
          <w:szCs w:val="24"/>
          <w14:textFill>
            <w14:solidFill>
              <w14:schemeClr w14:val="tx1"/>
            </w14:solidFill>
          </w14:textFill>
        </w:rPr>
        <w:t>二、质量保证及售后服务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1.自验收合格之日起，</w:t>
      </w:r>
      <w:r>
        <w:rPr>
          <w:rFonts w:hint="eastAsia" w:ascii="方正仿宋_GBK" w:hAnsi="宋体" w:eastAsia="方正仿宋_GBK"/>
          <w:color w:val="000000" w:themeColor="text1"/>
          <w:sz w:val="24"/>
          <w:szCs w:val="24"/>
          <w:highlight w:val="none"/>
          <w14:textFill>
            <w14:solidFill>
              <w14:schemeClr w14:val="tx1"/>
            </w14:solidFill>
          </w14:textFill>
        </w:rPr>
        <w:t>提供1年免费质保期</w:t>
      </w:r>
      <w:r>
        <w:rPr>
          <w:rFonts w:hint="eastAsia" w:ascii="方正仿宋_GBK" w:hAnsi="宋体" w:eastAsia="方正仿宋_GBK"/>
          <w:color w:val="000000" w:themeColor="text1"/>
          <w:sz w:val="24"/>
          <w:szCs w:val="24"/>
          <w14:textFill>
            <w14:solidFill>
              <w14:schemeClr w14:val="tx1"/>
            </w14:solidFill>
          </w14:textFill>
        </w:rPr>
        <w:t>。</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3.供应商的质量保证期承诺优于国家“三包”规定的，按供应商实际承诺执行。</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4.采购货物由制造商（指产品生产制造商，或其负责销售、售后服务机构，以下同）负责标准售后服务的，应当在</w:t>
      </w:r>
      <w:r>
        <w:rPr>
          <w:rFonts w:hint="eastAsia" w:ascii="方正仿宋_GBK" w:hAnsi="宋体" w:eastAsia="方正仿宋_GBK"/>
          <w:color w:val="000000" w:themeColor="text1"/>
          <w:sz w:val="24"/>
          <w:szCs w:val="24"/>
          <w:lang w:eastAsia="zh-CN"/>
          <w14:textFill>
            <w14:solidFill>
              <w14:schemeClr w14:val="tx1"/>
            </w14:solidFill>
          </w14:textFill>
        </w:rPr>
        <w:t>响应</w:t>
      </w:r>
      <w:r>
        <w:rPr>
          <w:rFonts w:hint="eastAsia" w:ascii="方正仿宋_GBK" w:hAnsi="宋体" w:eastAsia="方正仿宋_GBK"/>
          <w:color w:val="000000" w:themeColor="text1"/>
          <w:sz w:val="24"/>
          <w:szCs w:val="24"/>
          <w14:textFill>
            <w14:solidFill>
              <w14:schemeClr w14:val="tx1"/>
            </w14:solidFill>
          </w14:textFill>
        </w:rPr>
        <w:t>文件中予以明确说明,并附制造商售后服务承诺。</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（二）售后服务内容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供应商和制造商在质量保证期内应当为采购人提供以下技术支持服务：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1.质量保证期内服务要求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1.1电话咨询</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1.2现场响应</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用户遇到使用及技术问题，电话咨询不能解决的，成交供应商或制造商应在24小时内采取相应响应措施；无法在24小时内解决的，应在48小时内派出专业人员进行技术支持。</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1.3技术升级</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在质保期内，如果成交供应商和制造商的产品技术升级，成交供应商应及时通知采购人，如采购人有相应要求，成交供应商和制造商应对采购人进行升级服务。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2.1质量保证期过后，成交供应商和制造商应同样提供免费电话咨询服务，并应承诺提供产品上门维护服务。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2.2质量保证期过后，采购人需要继续由原成交供应商和制造商提供售后服务的，成交供应商和制造商应以优惠价格提供售后服务。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（三）故障响应时间要求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供应商接到使用方产品出现问题的通知后立即作出响应，2小时内到达现场进行处理。</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（四）维修配件</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成交供应商或制造商应提供备品备件，保证用户应急所需。使用的维修零配件应为原厂配件，未经用户同意不得使用非原厂配件。</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三、报价要求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报价须为人民币报价，包括完成本项目所需的</w:t>
      </w:r>
      <w:r>
        <w:rPr>
          <w:rFonts w:hint="eastAsia" w:ascii="方正仿宋_GBK" w:hAnsi="宋体" w:eastAsia="方正仿宋_GBK"/>
          <w:color w:val="000000" w:themeColor="text1"/>
          <w:sz w:val="24"/>
          <w:szCs w:val="24"/>
          <w:lang w:eastAsia="zh-CN"/>
          <w14:textFill>
            <w14:solidFill>
              <w14:schemeClr w14:val="tx1"/>
            </w14:solidFill>
          </w14:textFill>
        </w:rPr>
        <w:t>货物、</w:t>
      </w:r>
      <w:r>
        <w:rPr>
          <w:rFonts w:hint="eastAsia" w:ascii="方正仿宋_GBK" w:hAnsi="宋体" w:eastAsia="方正仿宋_GBK"/>
          <w:color w:val="000000" w:themeColor="text1"/>
          <w:sz w:val="24"/>
          <w:szCs w:val="24"/>
          <w14:textFill>
            <w14:solidFill>
              <w14:schemeClr w14:val="tx1"/>
            </w14:solidFill>
          </w14:textFill>
        </w:rPr>
        <w:t>服务</w:t>
      </w:r>
      <w:r>
        <w:rPr>
          <w:rFonts w:hint="eastAsia" w:ascii="方正仿宋_GBK" w:hAnsi="宋体" w:eastAsia="方正仿宋_GBK"/>
          <w:color w:val="000000" w:themeColor="text1"/>
          <w:sz w:val="24"/>
          <w:szCs w:val="24"/>
          <w:lang w:eastAsia="zh-CN"/>
          <w14:textFill>
            <w14:solidFill>
              <w14:schemeClr w14:val="tx1"/>
            </w14:solidFill>
          </w14:textFill>
        </w:rPr>
        <w:t>与工程</w:t>
      </w:r>
      <w:r>
        <w:rPr>
          <w:rFonts w:hint="eastAsia" w:ascii="方正仿宋_GBK" w:hAnsi="宋体" w:eastAsia="方正仿宋_GBK"/>
          <w:color w:val="000000" w:themeColor="text1"/>
          <w:sz w:val="24"/>
          <w:szCs w:val="24"/>
          <w14:textFill>
            <w14:solidFill>
              <w14:schemeClr w14:val="tx1"/>
            </w14:solidFill>
          </w14:textFill>
        </w:rPr>
        <w:t>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color w:val="000000" w:themeColor="text1"/>
          <w:kern w:val="2"/>
          <w:sz w:val="24"/>
          <w:szCs w:val="24"/>
          <w14:textFill>
            <w14:solidFill>
              <w14:schemeClr w14:val="tx1"/>
            </w14:solidFill>
          </w14:textFill>
        </w:rPr>
      </w:pPr>
      <w:bookmarkStart w:id="0" w:name="_Toc75793512"/>
      <w:bookmarkStart w:id="1" w:name="_Toc267320051"/>
      <w:r>
        <w:rPr>
          <w:rFonts w:hint="eastAsia" w:ascii="方正仿宋_GBK" w:eastAsia="方正仿宋_GBK" w:cs="Times New Roman"/>
          <w:b/>
          <w:color w:val="000000" w:themeColor="text1"/>
          <w:kern w:val="2"/>
          <w:sz w:val="24"/>
          <w:szCs w:val="24"/>
          <w14:textFill>
            <w14:solidFill>
              <w14:schemeClr w14:val="tx1"/>
            </w14:solidFill>
          </w14:textFill>
        </w:rPr>
        <w:t>四、付款方式</w:t>
      </w:r>
      <w:bookmarkEnd w:id="0"/>
      <w:bookmarkEnd w:id="1"/>
    </w:p>
    <w:p>
      <w:pPr>
        <w:spacing w:line="400" w:lineRule="exact"/>
        <w:ind w:firstLine="720" w:firstLineChars="300"/>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验收合格后，成交供应商向采购人提供增值税普通（或专用）发票，采购人向成交供应商支付合同全款；</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五、知识产权及保密要求</w:t>
      </w:r>
    </w:p>
    <w:p>
      <w:pPr>
        <w:ind w:firstLine="600" w:firstLineChars="2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themeColor="text1"/>
          <w:kern w:val="0"/>
          <w:sz w:val="24"/>
          <w:szCs w:val="24"/>
          <w14:textFill>
            <w14:solidFill>
              <w14:schemeClr w14:val="tx1"/>
            </w14:solidFill>
          </w14:textFill>
        </w:rPr>
        <w:t>如果第三方提出侵权指控，</w:t>
      </w:r>
      <w:r>
        <w:rPr>
          <w:rFonts w:hint="eastAsia" w:ascii="方正仿宋_GBK" w:hAnsi="宋体" w:eastAsia="方正仿宋_GBK" w:cs="宋体"/>
          <w:color w:val="000000" w:themeColor="text1"/>
          <w:kern w:val="0"/>
          <w:sz w:val="24"/>
          <w:szCs w:val="24"/>
          <w:lang w:eastAsia="zh-CN"/>
          <w14:textFill>
            <w14:solidFill>
              <w14:schemeClr w14:val="tx1"/>
            </w14:solidFill>
          </w14:textFill>
        </w:rPr>
        <w:t>供应商</w:t>
      </w:r>
      <w:r>
        <w:rPr>
          <w:rFonts w:hint="eastAsia" w:ascii="方正仿宋_GBK" w:hAnsi="宋体" w:eastAsia="方正仿宋_GBK" w:cs="宋体"/>
          <w:color w:val="000000" w:themeColor="text1"/>
          <w:kern w:val="0"/>
          <w:sz w:val="24"/>
          <w:szCs w:val="24"/>
          <w14:textFill>
            <w14:solidFill>
              <w14:schemeClr w14:val="tx1"/>
            </w14:solidFill>
          </w14:textFill>
        </w:rPr>
        <w:t>应承担由此而引起的一切法律责任和费用。</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六、培训</w:t>
      </w:r>
    </w:p>
    <w:p>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成交供应商须提供对设备的操作培训，使相关使用人员能够正常操作相关设备。</w:t>
      </w:r>
    </w:p>
    <w:p>
      <w:pPr>
        <w:pStyle w:val="2"/>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七、其他</w:t>
      </w:r>
    </w:p>
    <w:p>
      <w:pPr>
        <w:snapToGrid w:val="0"/>
        <w:spacing w:line="400" w:lineRule="exact"/>
        <w:ind w:firstLine="540"/>
        <w:rPr>
          <w:rFonts w:hint="eastAsia" w:ascii="方正仿宋_GBK" w:eastAsia="方正仿宋_GBK"/>
          <w:color w:val="000000" w:themeColor="text1"/>
          <w:sz w:val="24"/>
          <w:szCs w:val="24"/>
          <w:lang w:eastAsia="zh-CN"/>
          <w14:textFill>
            <w14:solidFill>
              <w14:schemeClr w14:val="tx1"/>
            </w14:solidFill>
          </w14:textFill>
        </w:rPr>
      </w:pPr>
      <w:r>
        <w:rPr>
          <w:rFonts w:hint="eastAsia" w:ascii="方正仿宋_GBK"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ind w:firstLine="480" w:firstLineChars="200"/>
        <w:rPr>
          <w:rFonts w:hint="default"/>
          <w:color w:val="000000" w:themeColor="text1"/>
          <w:lang w:val="en-US" w:eastAsia="zh-CN"/>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w:t>
      </w:r>
      <w:r>
        <w:rPr>
          <w:rFonts w:hint="eastAsia" w:ascii="方正仿宋_GBK" w:eastAsia="方正仿宋_GBK" w:cs="Times New Roman"/>
          <w:color w:val="000000" w:themeColor="text1"/>
          <w:kern w:val="2"/>
          <w:sz w:val="24"/>
          <w:szCs w:val="24"/>
          <w:lang w:val="en-US" w:eastAsia="zh-CN" w:bidi="ar-SA"/>
          <w14:textFill>
            <w14:solidFill>
              <w14:schemeClr w14:val="tx1"/>
            </w14:solidFill>
          </w14:textFill>
        </w:rPr>
        <w:t>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YzY3NzRlNzBhNDg1NmJhYWMwY2ZhNzVhNzY4MTUifQ=="/>
  </w:docVars>
  <w:rsids>
    <w:rsidRoot w:val="730A4345"/>
    <w:rsid w:val="0F4C365D"/>
    <w:rsid w:val="232C6CA3"/>
    <w:rsid w:val="2DA967FE"/>
    <w:rsid w:val="40B979E5"/>
    <w:rsid w:val="730A4345"/>
    <w:rsid w:val="73D6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hint="default" w:ascii="宋体" w:hAnsi="Courier New"/>
      <w:szCs w:val="21"/>
    </w:rPr>
  </w:style>
  <w:style w:type="paragraph" w:styleId="5">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1819</Words>
  <Characters>1941</Characters>
  <Lines>0</Lines>
  <Paragraphs>0</Paragraphs>
  <TotalTime>14</TotalTime>
  <ScaleCrop>false</ScaleCrop>
  <LinksUpToDate>false</LinksUpToDate>
  <CharactersWithSpaces>2017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2024-05-29T10:43:00Z</dcterms:created>
  <dc:creator>颜颜</dc:creator>
  <cp:lastModifiedBy>颜颜</cp:lastModifiedBy>
  <dcterms:modified xsi:type="dcterms:W3CDTF">2024-05-29T13:11:04Z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4BEAFE60005B409F9DB2D2C0C2117F0D_13</vt:lpwstr>
  </property>
</Properties>
</file>