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附件一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重庆城市管理职业学院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网球场防风网</w:t>
      </w:r>
      <w:r>
        <w:rPr>
          <w:rFonts w:ascii="方正小标宋_GBK" w:hAnsi="Times New Roman" w:eastAsia="方正小标宋_GBK" w:cs="Times New Roman"/>
          <w:color w:val="000000"/>
          <w:sz w:val="36"/>
          <w:szCs w:val="36"/>
        </w:rPr>
        <w:t>施工</w:t>
      </w: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分散采购需求</w:t>
      </w:r>
    </w:p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重庆城市管理职业学院位于重庆市高新区大学城南二路151号。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拟对学校网球场部分防风网进行重新施工安装，欢迎</w:t>
      </w:r>
      <w:r>
        <w:rPr>
          <w:rFonts w:hint="eastAsia" w:ascii="方正仿宋_GBK" w:hAnsi="宋体" w:eastAsia="方正仿宋_GBK" w:cs="Times New Roman"/>
          <w:sz w:val="32"/>
          <w:szCs w:val="32"/>
        </w:rPr>
        <w:t>有实力有资质的企业或个体积极参与我校分散采购。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二、网球场防风网规格及标准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1. 防风网品牌、规格：恰好时</w:t>
      </w:r>
      <w:r>
        <w:rPr>
          <w:rFonts w:hint="eastAsia" w:ascii="方正仿宋_GBK" w:hAnsi="宋体" w:eastAsia="方正仿宋_GBK" w:cs="Times New Roman"/>
          <w:sz w:val="32"/>
          <w:szCs w:val="32"/>
        </w:rPr>
        <w:t>TF-750，森林绿，PE拉丝</w:t>
      </w:r>
      <w:r>
        <w:rPr>
          <w:rFonts w:ascii="方正仿宋_GBK" w:hAnsi="宋体" w:eastAsia="方正仿宋_GBK" w:cs="Times New Roman"/>
          <w:sz w:val="32"/>
          <w:szCs w:val="32"/>
        </w:rPr>
        <w:t>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验收要求：根据行业规范和附件二进行现场验收，具体为：服务商完成安装后应立即向采购人申请验收。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3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支付验收合格后，服务商提供正规发票申请付款，采购人在收到相关票据后7个工作日完成支付（遇节假日及寒、暑假顺延）。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4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请参与服务商根据“附件二”制作报价表并加盖鲜章或印章。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参与分散采购的服务商须密封提供以下材料：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法人营业执照副本复印件盖鲜章（或未办理三证合一的营业执照、组织机构代码证、税务登记证复印件盖鲜章）。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法定代表人身份证明书。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法定代表人授权委托书，法人亲自参与分散采购的，则不需要授权委托书。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.4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诚信声明（声明中特别强调防风网在采购、运输、安装全过程的安全责任均由服务商全权承担，学校不承担任何经济和法律责任）。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5重庆城市管理职业学院网球场防风网施工分散采购报价表。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三、分散采购竞价评选标准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在完全满足“附件二”的条件下，竞价最低者中标。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四、完工时间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</w:t>
      </w:r>
      <w:r>
        <w:rPr>
          <w:rFonts w:ascii="方正仿宋_GBK" w:hAnsi="Times New Roman" w:eastAsia="方正仿宋_GBK" w:cs="Times New Roman"/>
          <w:sz w:val="32"/>
          <w:szCs w:val="32"/>
        </w:rPr>
        <w:t>020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年10月30日17：30以前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76"/>
        <w:gridCol w:w="3705"/>
        <w:gridCol w:w="121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0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附件二  预算清单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工艺及规格说明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重庆城市管理职业学院网球场防风网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施工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网球场东侧H=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4m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，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L=46m,面积约184平方米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。（拆除）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2网球场北侧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H=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m，L=4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5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m，面积约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270平方米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（拆除）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3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双层安装，面积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6*45*2=540平方米。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包干单价：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67.09元/m2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约724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8808" w:type="dxa"/>
            <w:gridSpan w:val="5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说明：</w:t>
            </w:r>
          </w:p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1.网长度根据现场实际安装并收方；数量有可能增减，具体结算以实际发生数量（收方）为准；</w:t>
            </w:r>
          </w:p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2.本次报价必须含材料、运输、安装、拆料（现场原锈蚀、毁损围网材料）外运、发票等一切费用。</w:t>
            </w:r>
          </w:p>
          <w:p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本次最高包干单价限价67.09元/平方米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28"/>
          <w:szCs w:val="28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399191"/>
    </w:sdtPr>
    <w:sdtContent>
      <w:sdt>
        <w:sdtPr>
          <w:id w:val="-130161055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EB"/>
    <w:rsid w:val="000571B5"/>
    <w:rsid w:val="00110676"/>
    <w:rsid w:val="00165066"/>
    <w:rsid w:val="00175381"/>
    <w:rsid w:val="00187446"/>
    <w:rsid w:val="001A4231"/>
    <w:rsid w:val="00234F52"/>
    <w:rsid w:val="00253B52"/>
    <w:rsid w:val="002773A8"/>
    <w:rsid w:val="00284BCA"/>
    <w:rsid w:val="003221ED"/>
    <w:rsid w:val="00425A7E"/>
    <w:rsid w:val="004E785D"/>
    <w:rsid w:val="004F17B3"/>
    <w:rsid w:val="00514671"/>
    <w:rsid w:val="00527527"/>
    <w:rsid w:val="005E79E3"/>
    <w:rsid w:val="0065541D"/>
    <w:rsid w:val="0066206A"/>
    <w:rsid w:val="00676B0E"/>
    <w:rsid w:val="006965A8"/>
    <w:rsid w:val="006C178D"/>
    <w:rsid w:val="00872DCE"/>
    <w:rsid w:val="008C0485"/>
    <w:rsid w:val="008F6FE8"/>
    <w:rsid w:val="008F7617"/>
    <w:rsid w:val="00931D14"/>
    <w:rsid w:val="00935AC9"/>
    <w:rsid w:val="00944441"/>
    <w:rsid w:val="00966F2C"/>
    <w:rsid w:val="00A56357"/>
    <w:rsid w:val="00A820DB"/>
    <w:rsid w:val="00AB663F"/>
    <w:rsid w:val="00AF528E"/>
    <w:rsid w:val="00B06EE6"/>
    <w:rsid w:val="00B60945"/>
    <w:rsid w:val="00B6571F"/>
    <w:rsid w:val="00BA32A0"/>
    <w:rsid w:val="00BD4879"/>
    <w:rsid w:val="00BD4EEB"/>
    <w:rsid w:val="00C97C42"/>
    <w:rsid w:val="00CE2AC7"/>
    <w:rsid w:val="00E06467"/>
    <w:rsid w:val="00E42148"/>
    <w:rsid w:val="00E77FB2"/>
    <w:rsid w:val="00E94176"/>
    <w:rsid w:val="00EB7492"/>
    <w:rsid w:val="00FD7957"/>
    <w:rsid w:val="00FE79C0"/>
    <w:rsid w:val="00FF2801"/>
    <w:rsid w:val="15C234D1"/>
    <w:rsid w:val="521D2B3B"/>
    <w:rsid w:val="58D364E8"/>
    <w:rsid w:val="58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B99B57-CEA8-42B1-8960-7CD8E2802F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</Words>
  <Characters>1262</Characters>
  <Lines>10</Lines>
  <Paragraphs>2</Paragraphs>
  <TotalTime>1061</TotalTime>
  <ScaleCrop>false</ScaleCrop>
  <LinksUpToDate>false</LinksUpToDate>
  <CharactersWithSpaces>1481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2020-05-06T03:40:00Z</dcterms:created>
  <dc:creator>Administrator</dc:creator>
  <cp:lastModifiedBy>nina</cp:lastModifiedBy>
  <cp:lastPrinted>2020-10-16T00:59:00Z</cp:lastPrinted>
  <dcterms:modified xsi:type="dcterms:W3CDTF">2020-10-20T04:25:43Z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