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eastAsia="方正小标宋_GBK"/>
          <w:kern w:val="0"/>
          <w:sz w:val="36"/>
          <w:szCs w:val="36"/>
        </w:rPr>
      </w:pPr>
      <w:bookmarkStart w:id="2" w:name="_GoBack"/>
      <w:r>
        <w:rPr>
          <w:rFonts w:hint="eastAsia" w:ascii="Times New Roman" w:hAnsi="Times New Roman" w:eastAsia="方正小标宋_GBK" w:cs="Times New Roman"/>
          <w:kern w:val="0"/>
          <w:sz w:val="36"/>
          <w:szCs w:val="36"/>
          <w:lang w:val="en-US" w:eastAsia="zh-CN"/>
        </w:rPr>
        <w:t>校内劳动教育实践基地平整土地项目</w:t>
      </w:r>
      <w:r>
        <w:rPr>
          <w:rFonts w:hint="default" w:eastAsia="方正小标宋_GBK"/>
          <w:kern w:val="0"/>
          <w:sz w:val="36"/>
          <w:szCs w:val="36"/>
        </w:rPr>
        <w:t>采购清单及预算</w:t>
      </w:r>
      <w:bookmarkEnd w:id="2"/>
      <w:r>
        <w:rPr>
          <w:rFonts w:hint="eastAsia" w:eastAsia="方正小标宋_GBK"/>
          <w:kern w:val="0"/>
          <w:sz w:val="36"/>
          <w:szCs w:val="36"/>
          <w:lang w:val="en-US" w:eastAsia="zh-CN"/>
        </w:rPr>
        <w:t xml:space="preserve">      </w:t>
      </w:r>
      <w:r>
        <w:rPr>
          <w:rFonts w:hint="default" w:eastAsia="方正小标宋_GBK"/>
          <w:kern w:val="0"/>
          <w:sz w:val="36"/>
          <w:szCs w:val="36"/>
        </w:rPr>
        <w:t>（服务类）</w:t>
      </w:r>
    </w:p>
    <w:tbl>
      <w:tblPr>
        <w:tblStyle w:val="6"/>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12"/>
        <w:gridCol w:w="5206"/>
        <w:gridCol w:w="606"/>
        <w:gridCol w:w="895"/>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690" w:type="dxa"/>
            <w:noWrap w:val="0"/>
            <w:vAlign w:val="center"/>
          </w:tcPr>
          <w:p>
            <w:pPr>
              <w:widowControl/>
              <w:jc w:val="center"/>
              <w:rPr>
                <w:rFonts w:hint="default" w:eastAsia="黑体"/>
                <w:kern w:val="0"/>
                <w:sz w:val="24"/>
              </w:rPr>
            </w:pPr>
            <w:r>
              <w:rPr>
                <w:rFonts w:hint="default" w:eastAsia="黑体"/>
                <w:kern w:val="0"/>
                <w:sz w:val="24"/>
              </w:rPr>
              <w:t>序号</w:t>
            </w:r>
          </w:p>
        </w:tc>
        <w:tc>
          <w:tcPr>
            <w:tcW w:w="1412" w:type="dxa"/>
            <w:noWrap w:val="0"/>
            <w:vAlign w:val="center"/>
          </w:tcPr>
          <w:p>
            <w:pPr>
              <w:widowControl/>
              <w:jc w:val="center"/>
              <w:rPr>
                <w:rFonts w:hint="default" w:eastAsia="黑体"/>
                <w:kern w:val="0"/>
                <w:sz w:val="24"/>
              </w:rPr>
            </w:pPr>
            <w:r>
              <w:rPr>
                <w:rFonts w:hint="default" w:eastAsia="黑体"/>
                <w:kern w:val="0"/>
                <w:sz w:val="24"/>
              </w:rPr>
              <w:t>服务名目</w:t>
            </w:r>
          </w:p>
        </w:tc>
        <w:tc>
          <w:tcPr>
            <w:tcW w:w="5206" w:type="dxa"/>
            <w:noWrap w:val="0"/>
            <w:vAlign w:val="center"/>
          </w:tcPr>
          <w:p>
            <w:pPr>
              <w:widowControl/>
              <w:jc w:val="center"/>
              <w:rPr>
                <w:rFonts w:hint="default" w:eastAsia="黑体"/>
                <w:kern w:val="0"/>
                <w:sz w:val="24"/>
              </w:rPr>
            </w:pPr>
            <w:r>
              <w:rPr>
                <w:rFonts w:hint="default" w:eastAsia="黑体"/>
                <w:kern w:val="0"/>
                <w:sz w:val="24"/>
              </w:rPr>
              <w:t>服务内容</w:t>
            </w:r>
            <w:r>
              <w:rPr>
                <w:rFonts w:hint="eastAsia" w:eastAsia="黑体"/>
                <w:kern w:val="0"/>
                <w:sz w:val="24"/>
                <w:lang w:eastAsia="zh-CN"/>
              </w:rPr>
              <w:t>和标准</w:t>
            </w:r>
          </w:p>
        </w:tc>
        <w:tc>
          <w:tcPr>
            <w:tcW w:w="606" w:type="dxa"/>
            <w:noWrap w:val="0"/>
            <w:vAlign w:val="center"/>
          </w:tcPr>
          <w:p>
            <w:pPr>
              <w:widowControl/>
              <w:jc w:val="center"/>
              <w:rPr>
                <w:rFonts w:hint="default" w:eastAsia="黑体"/>
                <w:kern w:val="0"/>
                <w:sz w:val="24"/>
              </w:rPr>
            </w:pPr>
            <w:r>
              <w:rPr>
                <w:rFonts w:hint="default" w:eastAsia="黑体"/>
                <w:kern w:val="0"/>
                <w:sz w:val="24"/>
              </w:rPr>
              <w:t>数量</w:t>
            </w:r>
          </w:p>
        </w:tc>
        <w:tc>
          <w:tcPr>
            <w:tcW w:w="895" w:type="dxa"/>
            <w:noWrap w:val="0"/>
            <w:vAlign w:val="center"/>
          </w:tcPr>
          <w:p>
            <w:pPr>
              <w:widowControl/>
              <w:jc w:val="center"/>
              <w:rPr>
                <w:rFonts w:hint="default" w:eastAsia="黑体"/>
                <w:kern w:val="0"/>
                <w:sz w:val="24"/>
              </w:rPr>
            </w:pPr>
            <w:r>
              <w:rPr>
                <w:rFonts w:hint="default" w:eastAsia="黑体"/>
                <w:kern w:val="0"/>
                <w:sz w:val="24"/>
              </w:rPr>
              <w:t>单价</w:t>
            </w:r>
          </w:p>
        </w:tc>
        <w:tc>
          <w:tcPr>
            <w:tcW w:w="1028" w:type="dxa"/>
            <w:noWrap w:val="0"/>
            <w:vAlign w:val="center"/>
          </w:tcPr>
          <w:p>
            <w:pPr>
              <w:widowControl/>
              <w:jc w:val="center"/>
              <w:rPr>
                <w:rFonts w:hint="default" w:eastAsia="黑体"/>
                <w:kern w:val="0"/>
                <w:sz w:val="24"/>
              </w:rPr>
            </w:pPr>
            <w:r>
              <w:rPr>
                <w:rFonts w:hint="eastAsia" w:eastAsia="黑体"/>
                <w:kern w:val="0"/>
                <w:sz w:val="24"/>
              </w:rPr>
              <w:t>合计</w:t>
            </w:r>
            <w:r>
              <w:rPr>
                <w:rFonts w:hint="default" w:eastAsia="黑体"/>
                <w:kern w:val="0"/>
                <w:sz w:val="24"/>
              </w:rPr>
              <w:t>金额</w:t>
            </w:r>
            <w:r>
              <w:rPr>
                <w:rFonts w:hint="eastAsia" w:eastAsia="黑体"/>
                <w:kern w:val="0"/>
                <w:sz w:val="24"/>
                <w:lang w:eastAsia="zh-CN"/>
              </w:rPr>
              <w:t>（</w:t>
            </w:r>
            <w:r>
              <w:rPr>
                <w:rFonts w:hint="default" w:eastAsia="黑体"/>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90" w:type="dxa"/>
            <w:noWrap w:val="0"/>
            <w:vAlign w:val="center"/>
          </w:tcPr>
          <w:p>
            <w:pPr>
              <w:widowControl/>
              <w:jc w:val="center"/>
              <w:rPr>
                <w:rFonts w:hint="default" w:eastAsia="黑体"/>
                <w:kern w:val="0"/>
                <w:sz w:val="24"/>
              </w:rPr>
            </w:pPr>
            <w:r>
              <w:rPr>
                <w:rFonts w:hint="default" w:eastAsia="黑体"/>
                <w:kern w:val="0"/>
                <w:sz w:val="24"/>
              </w:rPr>
              <w:t>1</w:t>
            </w:r>
          </w:p>
        </w:tc>
        <w:tc>
          <w:tcPr>
            <w:tcW w:w="1412" w:type="dxa"/>
            <w:noWrap w:val="0"/>
            <w:vAlign w:val="center"/>
          </w:tcPr>
          <w:p>
            <w:pPr>
              <w:widowControl/>
              <w:jc w:val="center"/>
              <w:rPr>
                <w:rFonts w:hint="default" w:eastAsia="黑体"/>
                <w:kern w:val="0"/>
                <w:sz w:val="24"/>
              </w:rPr>
            </w:pPr>
            <w:r>
              <w:rPr>
                <w:rFonts w:hint="eastAsia" w:eastAsia="黑体"/>
                <w:kern w:val="0"/>
                <w:sz w:val="24"/>
                <w:lang w:eastAsia="zh-CN"/>
              </w:rPr>
              <w:t>草坪改土服务</w:t>
            </w:r>
            <w:r>
              <w:rPr>
                <w:rFonts w:hint="default" w:eastAsia="黑体"/>
                <w:kern w:val="0"/>
                <w:sz w:val="24"/>
              </w:rPr>
              <w:t>　</w:t>
            </w:r>
          </w:p>
        </w:tc>
        <w:tc>
          <w:tcPr>
            <w:tcW w:w="5206" w:type="dxa"/>
            <w:noWrap w:val="0"/>
            <w:vAlign w:val="center"/>
          </w:tcPr>
          <w:p>
            <w:pPr>
              <w:numPr>
                <w:ilvl w:val="0"/>
                <w:numId w:val="1"/>
              </w:numPr>
              <w:rPr>
                <w:rFonts w:hint="default"/>
                <w:sz w:val="22"/>
                <w:szCs w:val="22"/>
                <w:lang w:val="en-US" w:eastAsia="zh-CN"/>
              </w:rPr>
            </w:pPr>
            <w:r>
              <w:rPr>
                <w:rFonts w:hint="eastAsia"/>
                <w:sz w:val="22"/>
                <w:szCs w:val="22"/>
                <w:lang w:val="en-US" w:eastAsia="zh-CN"/>
              </w:rPr>
              <w:t>清理灌溉出口个数，延长及保护水管端口。</w:t>
            </w:r>
          </w:p>
          <w:p>
            <w:pPr>
              <w:numPr>
                <w:ilvl w:val="0"/>
                <w:numId w:val="1"/>
              </w:numPr>
              <w:rPr>
                <w:rFonts w:hint="default"/>
                <w:sz w:val="22"/>
                <w:szCs w:val="22"/>
                <w:lang w:val="en-US" w:eastAsia="zh-CN"/>
              </w:rPr>
            </w:pPr>
            <w:r>
              <w:rPr>
                <w:rFonts w:hint="eastAsia"/>
                <w:sz w:val="22"/>
                <w:szCs w:val="22"/>
                <w:lang w:val="en-US" w:eastAsia="zh-CN"/>
              </w:rPr>
              <w:t>破坏或清理现有草坪，装置袋装沙土，放置在杉树基部（保护杉树的气井）</w:t>
            </w:r>
          </w:p>
          <w:p>
            <w:pPr>
              <w:numPr>
                <w:ilvl w:val="0"/>
                <w:numId w:val="1"/>
              </w:numPr>
              <w:rPr>
                <w:rFonts w:hint="default"/>
                <w:sz w:val="22"/>
                <w:szCs w:val="22"/>
                <w:lang w:val="en-US" w:eastAsia="zh-CN"/>
              </w:rPr>
            </w:pPr>
            <w:r>
              <w:rPr>
                <w:rFonts w:hint="eastAsia"/>
                <w:sz w:val="22"/>
                <w:szCs w:val="22"/>
                <w:lang w:val="en-US" w:eastAsia="zh-CN"/>
              </w:rPr>
              <w:t>回填种植土，一般栽植耕作层需20公分以上，围墙边高向排水沟逐渐降低耕作层（围墙边28cm，排水沟边22cm），压实平整土地。</w:t>
            </w:r>
          </w:p>
          <w:p>
            <w:pPr>
              <w:numPr>
                <w:ilvl w:val="0"/>
                <w:numId w:val="1"/>
              </w:numPr>
              <w:rPr>
                <w:rFonts w:hint="default"/>
                <w:sz w:val="22"/>
                <w:szCs w:val="22"/>
                <w:lang w:val="en-US" w:eastAsia="zh-CN"/>
              </w:rPr>
            </w:pPr>
            <w:r>
              <w:rPr>
                <w:rFonts w:hint="eastAsia"/>
                <w:sz w:val="22"/>
                <w:szCs w:val="22"/>
                <w:lang w:val="en-US" w:eastAsia="zh-CN"/>
              </w:rPr>
              <w:t>根据要求15米*10米的距离清理排水沟。</w:t>
            </w:r>
          </w:p>
          <w:p>
            <w:pPr>
              <w:numPr>
                <w:ilvl w:val="0"/>
                <w:numId w:val="1"/>
              </w:numPr>
              <w:rPr>
                <w:rFonts w:hint="default"/>
                <w:sz w:val="22"/>
                <w:szCs w:val="22"/>
                <w:lang w:val="en-US" w:eastAsia="zh-CN"/>
              </w:rPr>
            </w:pPr>
            <w:r>
              <w:rPr>
                <w:rFonts w:hint="eastAsia"/>
                <w:sz w:val="22"/>
                <w:szCs w:val="22"/>
                <w:lang w:val="en-US" w:eastAsia="zh-CN"/>
              </w:rPr>
              <w:t>因该地块发现红火蚁的活动。监测密度达到五级危害，应进行防制。防治要点：5月--10月，每月进行一次防治和一次监测，根据监测结果调整防治方式：灌巢、毒饵、挖巢等直至完全消杀彻底。</w:t>
            </w:r>
          </w:p>
          <w:p>
            <w:pPr>
              <w:widowControl/>
              <w:jc w:val="center"/>
              <w:rPr>
                <w:rFonts w:hint="default" w:eastAsia="黑体"/>
                <w:kern w:val="0"/>
                <w:sz w:val="24"/>
              </w:rPr>
            </w:pPr>
            <w:r>
              <w:rPr>
                <w:rFonts w:hint="default" w:eastAsia="黑体"/>
                <w:kern w:val="0"/>
                <w:sz w:val="24"/>
              </w:rPr>
              <w:t>　　</w:t>
            </w:r>
          </w:p>
        </w:tc>
        <w:tc>
          <w:tcPr>
            <w:tcW w:w="606" w:type="dxa"/>
            <w:noWrap w:val="0"/>
            <w:vAlign w:val="center"/>
          </w:tcPr>
          <w:p>
            <w:pPr>
              <w:widowControl/>
              <w:jc w:val="center"/>
              <w:rPr>
                <w:rFonts w:hint="default" w:eastAsia="黑体"/>
                <w:kern w:val="0"/>
                <w:sz w:val="24"/>
              </w:rPr>
            </w:pPr>
            <w:r>
              <w:rPr>
                <w:rFonts w:hint="eastAsia" w:eastAsia="黑体"/>
                <w:kern w:val="0"/>
                <w:sz w:val="24"/>
                <w:lang w:val="en-US" w:eastAsia="zh-CN"/>
              </w:rPr>
              <w:t>1</w:t>
            </w:r>
            <w:r>
              <w:rPr>
                <w:rFonts w:hint="default" w:eastAsia="黑体"/>
                <w:kern w:val="0"/>
                <w:sz w:val="24"/>
              </w:rPr>
              <w:t>　</w:t>
            </w:r>
          </w:p>
        </w:tc>
        <w:tc>
          <w:tcPr>
            <w:tcW w:w="895" w:type="dxa"/>
            <w:noWrap w:val="0"/>
            <w:vAlign w:val="center"/>
          </w:tcPr>
          <w:p>
            <w:pPr>
              <w:widowControl/>
              <w:jc w:val="center"/>
              <w:rPr>
                <w:rFonts w:hint="default" w:eastAsia="黑体"/>
                <w:kern w:val="0"/>
                <w:sz w:val="24"/>
                <w:lang w:val="en-US" w:eastAsia="zh-CN"/>
              </w:rPr>
            </w:pPr>
            <w:r>
              <w:rPr>
                <w:rFonts w:hint="default" w:eastAsia="黑体"/>
                <w:kern w:val="0"/>
                <w:sz w:val="24"/>
              </w:rPr>
              <w:t>　</w:t>
            </w:r>
            <w:r>
              <w:rPr>
                <w:rFonts w:hint="eastAsia" w:eastAsia="黑体"/>
                <w:kern w:val="0"/>
                <w:sz w:val="24"/>
                <w:lang w:val="en-US" w:eastAsia="zh-CN"/>
              </w:rPr>
              <w:t>47000</w:t>
            </w:r>
          </w:p>
        </w:tc>
        <w:tc>
          <w:tcPr>
            <w:tcW w:w="1028" w:type="dxa"/>
            <w:noWrap w:val="0"/>
            <w:vAlign w:val="center"/>
          </w:tcPr>
          <w:p>
            <w:pPr>
              <w:widowControl/>
              <w:jc w:val="center"/>
              <w:rPr>
                <w:rFonts w:hint="eastAsia" w:eastAsia="黑体"/>
                <w:kern w:val="0"/>
                <w:sz w:val="24"/>
                <w:lang w:val="en-US" w:eastAsia="zh-CN"/>
              </w:rPr>
            </w:pPr>
          </w:p>
          <w:p>
            <w:pPr>
              <w:widowControl/>
              <w:jc w:val="center"/>
              <w:rPr>
                <w:rFonts w:hint="default" w:eastAsia="黑体"/>
                <w:kern w:val="0"/>
                <w:sz w:val="24"/>
              </w:rPr>
            </w:pPr>
            <w:r>
              <w:rPr>
                <w:rFonts w:hint="eastAsia" w:eastAsia="黑体"/>
                <w:kern w:val="0"/>
                <w:sz w:val="24"/>
                <w:lang w:val="en-US" w:eastAsia="zh-CN"/>
              </w:rPr>
              <w:t>47000</w:t>
            </w:r>
            <w:r>
              <w:rPr>
                <w:rFonts w:hint="default" w:eastAsia="黑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90" w:type="dxa"/>
            <w:noWrap w:val="0"/>
            <w:vAlign w:val="center"/>
          </w:tcPr>
          <w:p>
            <w:pPr>
              <w:widowControl/>
              <w:jc w:val="center"/>
              <w:rPr>
                <w:rFonts w:hint="default" w:eastAsia="黑体"/>
                <w:kern w:val="0"/>
                <w:sz w:val="24"/>
              </w:rPr>
            </w:pPr>
            <w:r>
              <w:rPr>
                <w:rFonts w:hint="default" w:eastAsia="黑体"/>
                <w:kern w:val="0"/>
                <w:sz w:val="24"/>
              </w:rPr>
              <w:t>2</w:t>
            </w:r>
          </w:p>
        </w:tc>
        <w:tc>
          <w:tcPr>
            <w:tcW w:w="1412" w:type="dxa"/>
            <w:noWrap w:val="0"/>
            <w:vAlign w:val="center"/>
          </w:tcPr>
          <w:p>
            <w:pPr>
              <w:widowControl/>
              <w:jc w:val="center"/>
              <w:rPr>
                <w:rFonts w:hint="default" w:eastAsia="黑体"/>
                <w:kern w:val="0"/>
                <w:sz w:val="24"/>
              </w:rPr>
            </w:pPr>
          </w:p>
        </w:tc>
        <w:tc>
          <w:tcPr>
            <w:tcW w:w="5206" w:type="dxa"/>
            <w:noWrap w:val="0"/>
            <w:vAlign w:val="center"/>
          </w:tcPr>
          <w:p>
            <w:pPr>
              <w:widowControl/>
              <w:jc w:val="center"/>
              <w:rPr>
                <w:rFonts w:hint="default" w:eastAsia="黑体"/>
                <w:kern w:val="0"/>
                <w:sz w:val="24"/>
              </w:rPr>
            </w:pPr>
          </w:p>
        </w:tc>
        <w:tc>
          <w:tcPr>
            <w:tcW w:w="606" w:type="dxa"/>
            <w:noWrap w:val="0"/>
            <w:vAlign w:val="center"/>
          </w:tcPr>
          <w:p>
            <w:pPr>
              <w:widowControl/>
              <w:jc w:val="center"/>
              <w:rPr>
                <w:rFonts w:hint="default" w:eastAsia="黑体"/>
                <w:kern w:val="0"/>
                <w:sz w:val="24"/>
              </w:rPr>
            </w:pPr>
          </w:p>
        </w:tc>
        <w:tc>
          <w:tcPr>
            <w:tcW w:w="895" w:type="dxa"/>
            <w:noWrap w:val="0"/>
            <w:vAlign w:val="center"/>
          </w:tcPr>
          <w:p>
            <w:pPr>
              <w:widowControl/>
              <w:jc w:val="center"/>
              <w:rPr>
                <w:rFonts w:hint="default" w:eastAsia="黑体"/>
                <w:kern w:val="0"/>
                <w:sz w:val="24"/>
              </w:rPr>
            </w:pPr>
          </w:p>
        </w:tc>
        <w:tc>
          <w:tcPr>
            <w:tcW w:w="1028" w:type="dxa"/>
            <w:noWrap w:val="0"/>
            <w:vAlign w:val="center"/>
          </w:tcPr>
          <w:p>
            <w:pPr>
              <w:widowControl/>
              <w:jc w:val="center"/>
              <w:rPr>
                <w:rFonts w:hint="default"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90" w:type="dxa"/>
            <w:noWrap w:val="0"/>
            <w:vAlign w:val="center"/>
          </w:tcPr>
          <w:p>
            <w:pPr>
              <w:widowControl/>
              <w:jc w:val="center"/>
              <w:rPr>
                <w:rFonts w:hint="eastAsia" w:eastAsia="黑体"/>
                <w:kern w:val="0"/>
                <w:sz w:val="24"/>
              </w:rPr>
            </w:pPr>
            <w:r>
              <w:rPr>
                <w:rFonts w:hint="eastAsia" w:eastAsia="黑体"/>
                <w:kern w:val="0"/>
                <w:sz w:val="24"/>
              </w:rPr>
              <w:t>3</w:t>
            </w:r>
          </w:p>
        </w:tc>
        <w:tc>
          <w:tcPr>
            <w:tcW w:w="1412" w:type="dxa"/>
            <w:noWrap w:val="0"/>
            <w:vAlign w:val="center"/>
          </w:tcPr>
          <w:p>
            <w:pPr>
              <w:widowControl/>
              <w:jc w:val="center"/>
              <w:rPr>
                <w:rFonts w:hint="default" w:eastAsia="黑体"/>
                <w:kern w:val="0"/>
                <w:sz w:val="24"/>
              </w:rPr>
            </w:pPr>
          </w:p>
        </w:tc>
        <w:tc>
          <w:tcPr>
            <w:tcW w:w="5206" w:type="dxa"/>
            <w:noWrap w:val="0"/>
            <w:vAlign w:val="center"/>
          </w:tcPr>
          <w:p>
            <w:pPr>
              <w:widowControl/>
              <w:jc w:val="center"/>
              <w:rPr>
                <w:rFonts w:hint="default" w:eastAsia="黑体"/>
                <w:kern w:val="0"/>
                <w:sz w:val="24"/>
              </w:rPr>
            </w:pPr>
          </w:p>
        </w:tc>
        <w:tc>
          <w:tcPr>
            <w:tcW w:w="606" w:type="dxa"/>
            <w:noWrap w:val="0"/>
            <w:vAlign w:val="center"/>
          </w:tcPr>
          <w:p>
            <w:pPr>
              <w:widowControl/>
              <w:jc w:val="center"/>
              <w:rPr>
                <w:rFonts w:hint="default" w:eastAsia="黑体"/>
                <w:kern w:val="0"/>
                <w:sz w:val="24"/>
              </w:rPr>
            </w:pPr>
          </w:p>
        </w:tc>
        <w:tc>
          <w:tcPr>
            <w:tcW w:w="895" w:type="dxa"/>
            <w:noWrap w:val="0"/>
            <w:vAlign w:val="center"/>
          </w:tcPr>
          <w:p>
            <w:pPr>
              <w:widowControl/>
              <w:jc w:val="center"/>
              <w:rPr>
                <w:rFonts w:hint="default" w:eastAsia="黑体"/>
                <w:kern w:val="0"/>
                <w:sz w:val="24"/>
              </w:rPr>
            </w:pPr>
          </w:p>
        </w:tc>
        <w:tc>
          <w:tcPr>
            <w:tcW w:w="1028" w:type="dxa"/>
            <w:noWrap w:val="0"/>
            <w:vAlign w:val="center"/>
          </w:tcPr>
          <w:p>
            <w:pPr>
              <w:widowControl/>
              <w:jc w:val="center"/>
              <w:rPr>
                <w:rFonts w:hint="default"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90" w:type="dxa"/>
            <w:noWrap w:val="0"/>
            <w:vAlign w:val="center"/>
          </w:tcPr>
          <w:p>
            <w:pPr>
              <w:widowControl/>
              <w:jc w:val="center"/>
              <w:rPr>
                <w:rFonts w:hint="default" w:eastAsia="黑体"/>
                <w:kern w:val="0"/>
                <w:sz w:val="24"/>
              </w:rPr>
            </w:pPr>
            <w:r>
              <w:rPr>
                <w:rFonts w:hint="default" w:eastAsia="黑体"/>
                <w:kern w:val="0"/>
                <w:sz w:val="24"/>
              </w:rPr>
              <w:t>合计</w:t>
            </w:r>
          </w:p>
        </w:tc>
        <w:tc>
          <w:tcPr>
            <w:tcW w:w="6618" w:type="dxa"/>
            <w:gridSpan w:val="2"/>
            <w:noWrap w:val="0"/>
            <w:vAlign w:val="center"/>
          </w:tcPr>
          <w:p>
            <w:pPr>
              <w:widowControl/>
              <w:jc w:val="left"/>
              <w:rPr>
                <w:rFonts w:hint="default" w:eastAsia="黑体"/>
                <w:kern w:val="0"/>
                <w:sz w:val="24"/>
              </w:rPr>
            </w:pPr>
            <w:r>
              <w:rPr>
                <w:rFonts w:hint="default" w:eastAsia="黑体"/>
                <w:kern w:val="0"/>
                <w:sz w:val="24"/>
              </w:rPr>
              <w:t>人民币大写：肆万</w:t>
            </w:r>
            <w:r>
              <w:rPr>
                <w:rFonts w:hint="eastAsia" w:eastAsia="黑体"/>
                <w:kern w:val="0"/>
                <w:sz w:val="24"/>
                <w:lang w:val="en-US" w:eastAsia="zh-CN"/>
              </w:rPr>
              <w:t>柒仟</w:t>
            </w:r>
            <w:r>
              <w:rPr>
                <w:rFonts w:hint="default" w:eastAsia="黑体"/>
                <w:kern w:val="0"/>
                <w:sz w:val="24"/>
              </w:rPr>
              <w:t>元整</w:t>
            </w:r>
          </w:p>
        </w:tc>
        <w:tc>
          <w:tcPr>
            <w:tcW w:w="606" w:type="dxa"/>
            <w:noWrap w:val="0"/>
            <w:vAlign w:val="center"/>
          </w:tcPr>
          <w:p>
            <w:pPr>
              <w:widowControl/>
              <w:jc w:val="left"/>
              <w:rPr>
                <w:rFonts w:hint="default" w:eastAsia="黑体"/>
                <w:kern w:val="0"/>
                <w:sz w:val="24"/>
              </w:rPr>
            </w:pPr>
          </w:p>
        </w:tc>
        <w:tc>
          <w:tcPr>
            <w:tcW w:w="895" w:type="dxa"/>
            <w:noWrap w:val="0"/>
            <w:vAlign w:val="center"/>
          </w:tcPr>
          <w:p>
            <w:pPr>
              <w:widowControl/>
              <w:jc w:val="left"/>
              <w:rPr>
                <w:rFonts w:hint="default" w:eastAsia="黑体"/>
                <w:kern w:val="0"/>
                <w:sz w:val="24"/>
              </w:rPr>
            </w:pPr>
          </w:p>
        </w:tc>
        <w:tc>
          <w:tcPr>
            <w:tcW w:w="1028" w:type="dxa"/>
            <w:noWrap w:val="0"/>
            <w:vAlign w:val="center"/>
          </w:tcPr>
          <w:p>
            <w:pPr>
              <w:widowControl/>
              <w:jc w:val="center"/>
              <w:rPr>
                <w:rFonts w:hint="default" w:eastAsia="黑体"/>
                <w:kern w:val="0"/>
                <w:sz w:val="24"/>
              </w:rPr>
            </w:pPr>
            <w:r>
              <w:rPr>
                <w:rFonts w:hint="default" w:eastAsia="黑体"/>
                <w:kern w:val="0"/>
                <w:sz w:val="24"/>
              </w:rPr>
              <w:t>　</w:t>
            </w:r>
          </w:p>
        </w:tc>
      </w:tr>
    </w:tbl>
    <w:p>
      <w:pPr>
        <w:widowControl/>
        <w:jc w:val="center"/>
        <w:rPr>
          <w:rFonts w:hint="eastAsia" w:eastAsia="方正小标宋_GBK"/>
          <w:kern w:val="0"/>
          <w:sz w:val="36"/>
          <w:szCs w:val="36"/>
        </w:rPr>
      </w:pPr>
    </w:p>
    <w:p>
      <w:pPr>
        <w:pStyle w:val="4"/>
        <w:shd w:val="clear" w:color="auto" w:fill="FFFFFF"/>
        <w:spacing w:line="360" w:lineRule="auto"/>
        <w:jc w:val="center"/>
        <w:rPr>
          <w:rFonts w:hint="eastAsia" w:ascii="Times New Roman" w:hAnsi="Times New Roman" w:eastAsia="方正小标宋_GBK" w:cs="Times New Roman"/>
          <w:kern w:val="0"/>
          <w:sz w:val="36"/>
          <w:szCs w:val="36"/>
          <w:lang w:val="en-US" w:eastAsia="zh-CN"/>
        </w:rPr>
      </w:pPr>
    </w:p>
    <w:p>
      <w:pPr>
        <w:pStyle w:val="4"/>
        <w:shd w:val="clear" w:color="auto" w:fill="FFFFFF"/>
        <w:spacing w:line="360" w:lineRule="auto"/>
        <w:jc w:val="center"/>
        <w:rPr>
          <w:rFonts w:hint="eastAsia" w:ascii="Times New Roman" w:hAnsi="Times New Roman" w:eastAsia="方正小标宋_GBK" w:cs="Times New Roman"/>
          <w:kern w:val="0"/>
          <w:sz w:val="36"/>
          <w:szCs w:val="36"/>
          <w:lang w:val="en-US" w:eastAsia="zh-CN"/>
        </w:rPr>
      </w:pPr>
    </w:p>
    <w:p>
      <w:pPr>
        <w:pStyle w:val="4"/>
        <w:shd w:val="clear" w:color="auto" w:fill="FFFFFF"/>
        <w:spacing w:line="360" w:lineRule="auto"/>
        <w:jc w:val="center"/>
        <w:rPr>
          <w:rFonts w:hint="eastAsia" w:ascii="Times New Roman" w:hAnsi="Times New Roman" w:eastAsia="方正小标宋_GBK" w:cs="Times New Roman"/>
          <w:kern w:val="0"/>
          <w:sz w:val="36"/>
          <w:szCs w:val="36"/>
          <w:lang w:val="en-US" w:eastAsia="zh-CN"/>
        </w:rPr>
      </w:pPr>
    </w:p>
    <w:p>
      <w:pPr>
        <w:pStyle w:val="4"/>
        <w:shd w:val="clear" w:color="auto" w:fill="FFFFFF"/>
        <w:spacing w:line="360" w:lineRule="auto"/>
        <w:jc w:val="center"/>
        <w:rPr>
          <w:rFonts w:hint="eastAsia" w:ascii="Times New Roman" w:hAnsi="Times New Roman" w:eastAsia="方正小标宋_GBK" w:cs="Times New Roman"/>
          <w:kern w:val="0"/>
          <w:sz w:val="36"/>
          <w:szCs w:val="36"/>
          <w:lang w:val="en-US" w:eastAsia="zh-CN"/>
        </w:rPr>
      </w:pPr>
    </w:p>
    <w:p>
      <w:pPr>
        <w:pStyle w:val="4"/>
        <w:shd w:val="clear" w:color="auto" w:fill="FFFFFF"/>
        <w:spacing w:line="360" w:lineRule="auto"/>
        <w:jc w:val="center"/>
        <w:rPr>
          <w:rFonts w:hint="eastAsia" w:ascii="Times New Roman" w:hAnsi="Times New Roman" w:eastAsia="方正小标宋_GBK" w:cs="Times New Roman"/>
          <w:kern w:val="0"/>
          <w:sz w:val="36"/>
          <w:szCs w:val="36"/>
          <w:lang w:val="en-US" w:eastAsia="zh-CN"/>
        </w:rPr>
      </w:pPr>
    </w:p>
    <w:p>
      <w:pPr>
        <w:pStyle w:val="4"/>
        <w:shd w:val="clear" w:color="auto" w:fill="FFFFFF"/>
        <w:spacing w:line="360" w:lineRule="auto"/>
        <w:jc w:val="center"/>
        <w:rPr>
          <w:rFonts w:hint="eastAsia" w:ascii="Times New Roman" w:hAnsi="Times New Roman" w:eastAsia="方正小标宋_GBK" w:cs="Times New Roman"/>
          <w:kern w:val="0"/>
          <w:sz w:val="36"/>
          <w:szCs w:val="36"/>
          <w:lang w:val="en-US" w:eastAsia="zh-CN"/>
        </w:rPr>
      </w:pPr>
    </w:p>
    <w:p>
      <w:pPr>
        <w:pStyle w:val="4"/>
        <w:shd w:val="clear" w:color="auto" w:fill="FFFFFF"/>
        <w:spacing w:line="360" w:lineRule="auto"/>
        <w:jc w:val="center"/>
        <w:rPr>
          <w:rFonts w:hint="eastAsia" w:ascii="Times New Roman" w:hAnsi="Times New Roman" w:eastAsia="方正小标宋_GBK" w:cs="Times New Roman"/>
          <w:kern w:val="0"/>
          <w:sz w:val="36"/>
          <w:szCs w:val="36"/>
          <w:lang w:val="en-US" w:eastAsia="zh-CN"/>
        </w:rPr>
      </w:pPr>
    </w:p>
    <w:p>
      <w:pPr>
        <w:pStyle w:val="4"/>
        <w:shd w:val="clear" w:color="auto" w:fill="FFFFFF"/>
        <w:spacing w:line="360" w:lineRule="auto"/>
        <w:jc w:val="center"/>
        <w:rPr>
          <w:rFonts w:hint="eastAsia" w:ascii="Times New Roman" w:hAnsi="Times New Roman" w:eastAsia="方正小标宋_GBK" w:cs="Times New Roman"/>
          <w:kern w:val="0"/>
          <w:sz w:val="36"/>
          <w:szCs w:val="36"/>
          <w:lang w:val="en-US" w:eastAsia="zh-CN"/>
        </w:rPr>
      </w:pPr>
    </w:p>
    <w:p>
      <w:pPr>
        <w:pStyle w:val="4"/>
        <w:shd w:val="clear" w:color="auto" w:fill="FFFFFF"/>
        <w:spacing w:line="360" w:lineRule="auto"/>
        <w:jc w:val="center"/>
        <w:rPr>
          <w:rFonts w:hint="eastAsia" w:ascii="Times New Roman" w:hAnsi="Times New Roman" w:eastAsia="方正小标宋_GBK" w:cs="Times New Roman"/>
          <w:kern w:val="0"/>
          <w:sz w:val="36"/>
          <w:szCs w:val="36"/>
          <w:lang w:eastAsia="zh-CN"/>
        </w:rPr>
      </w:pPr>
      <w:r>
        <w:rPr>
          <w:rFonts w:hint="eastAsia" w:ascii="Times New Roman" w:hAnsi="Times New Roman" w:eastAsia="方正小标宋_GBK" w:cs="Times New Roman"/>
          <w:kern w:val="0"/>
          <w:sz w:val="36"/>
          <w:szCs w:val="36"/>
          <w:lang w:val="en-US" w:eastAsia="zh-CN"/>
        </w:rPr>
        <w:t>项目商务需求方案</w:t>
      </w:r>
    </w:p>
    <w:p>
      <w:pPr>
        <w:pStyle w:val="2"/>
        <w:spacing w:before="0" w:after="0" w:line="440" w:lineRule="exact"/>
        <w:rPr>
          <w:rFonts w:hint="eastAsia" w:ascii="方正仿宋_GBK" w:hAnsi="宋体" w:eastAsia="方正仿宋_GBK"/>
          <w:sz w:val="24"/>
          <w:szCs w:val="24"/>
        </w:rPr>
      </w:pPr>
    </w:p>
    <w:p>
      <w:pPr>
        <w:pStyle w:val="2"/>
        <w:spacing w:before="0" w:after="0" w:line="440" w:lineRule="exact"/>
        <w:rPr>
          <w:rFonts w:hint="default"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一、</w:t>
      </w:r>
      <w:r>
        <w:rPr>
          <w:rFonts w:hint="eastAsia" w:ascii="方正仿宋_GBK" w:hAnsi="宋体" w:eastAsia="方正仿宋_GBK"/>
          <w:color w:val="000000" w:themeColor="text1"/>
          <w:sz w:val="24"/>
          <w:szCs w:val="24"/>
          <w:lang w:eastAsia="zh-CN"/>
          <w14:textFill>
            <w14:solidFill>
              <w14:schemeClr w14:val="tx1"/>
            </w14:solidFill>
          </w14:textFill>
        </w:rPr>
        <w:t>交货</w:t>
      </w:r>
      <w:r>
        <w:rPr>
          <w:rFonts w:hint="eastAsia" w:ascii="方正仿宋_GBK" w:hAnsi="宋体" w:eastAsia="方正仿宋_GBK"/>
          <w:color w:val="000000" w:themeColor="text1"/>
          <w:sz w:val="24"/>
          <w:szCs w:val="24"/>
          <w:lang w:val="en-US" w:eastAsia="zh-CN"/>
          <w14:textFill>
            <w14:solidFill>
              <w14:schemeClr w14:val="tx1"/>
            </w14:solidFill>
          </w14:textFill>
        </w:rPr>
        <w:t>/实施</w:t>
      </w:r>
      <w:r>
        <w:rPr>
          <w:rFonts w:hint="eastAsia" w:ascii="方正仿宋_GBK" w:hAnsi="宋体" w:eastAsia="方正仿宋_GBK"/>
          <w:color w:val="000000" w:themeColor="text1"/>
          <w:sz w:val="24"/>
          <w:szCs w:val="24"/>
          <w14:textFill>
            <w14:solidFill>
              <w14:schemeClr w14:val="tx1"/>
            </w14:solidFill>
          </w14:textFill>
        </w:rPr>
        <w:t>时间、地点及验收方式</w:t>
      </w:r>
    </w:p>
    <w:p>
      <w:pPr>
        <w:pStyle w:val="5"/>
        <w:spacing w:line="400" w:lineRule="exact"/>
        <w:ind w:firstLine="360" w:firstLineChars="15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（一）</w:t>
      </w:r>
      <w:r>
        <w:rPr>
          <w:rFonts w:hint="eastAsia" w:ascii="方正仿宋_GBK" w:hAnsi="宋体" w:eastAsia="方正仿宋_GBK"/>
          <w:color w:val="000000" w:themeColor="text1"/>
          <w:sz w:val="24"/>
          <w:szCs w:val="24"/>
          <w:lang w:eastAsia="zh-CN"/>
          <w14:textFill>
            <w14:solidFill>
              <w14:schemeClr w14:val="tx1"/>
            </w14:solidFill>
          </w14:textFill>
        </w:rPr>
        <w:t>交货</w:t>
      </w:r>
      <w:r>
        <w:rPr>
          <w:rFonts w:hint="eastAsia" w:ascii="方正仿宋_GBK" w:hAnsi="宋体" w:eastAsia="方正仿宋_GBK"/>
          <w:color w:val="000000" w:themeColor="text1"/>
          <w:sz w:val="24"/>
          <w:szCs w:val="24"/>
          <w:lang w:val="en-US" w:eastAsia="zh-CN"/>
          <w14:textFill>
            <w14:solidFill>
              <w14:schemeClr w14:val="tx1"/>
            </w14:solidFill>
          </w14:textFill>
        </w:rPr>
        <w:t>/实施</w:t>
      </w:r>
      <w:r>
        <w:rPr>
          <w:rFonts w:hint="eastAsia" w:ascii="方正仿宋_GBK" w:hAnsi="宋体" w:eastAsia="方正仿宋_GBK"/>
          <w:color w:val="000000" w:themeColor="text1"/>
          <w:sz w:val="24"/>
          <w:szCs w:val="24"/>
          <w14:textFill>
            <w14:solidFill>
              <w14:schemeClr w14:val="tx1"/>
            </w14:solidFill>
          </w14:textFill>
        </w:rPr>
        <w:t>时间</w:t>
      </w:r>
    </w:p>
    <w:p>
      <w:pPr>
        <w:pStyle w:val="5"/>
        <w:tabs>
          <w:tab w:val="left" w:pos="4905"/>
        </w:tabs>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签订合同后30个日历日</w:t>
      </w:r>
      <w:r>
        <w:rPr>
          <w:rFonts w:hint="eastAsia" w:ascii="方正仿宋_GBK" w:hAnsi="宋体" w:eastAsia="方正仿宋_GBK"/>
          <w:color w:val="000000" w:themeColor="text1"/>
          <w:sz w:val="24"/>
          <w:szCs w:val="24"/>
          <w:lang w:eastAsia="zh-CN"/>
          <w14:textFill>
            <w14:solidFill>
              <w14:schemeClr w14:val="tx1"/>
            </w14:solidFill>
          </w14:textFill>
        </w:rPr>
        <w:t>内</w:t>
      </w:r>
      <w:r>
        <w:rPr>
          <w:rFonts w:hint="eastAsia" w:ascii="方正仿宋_GBK" w:hAnsi="宋体" w:eastAsia="方正仿宋_GBK"/>
          <w:color w:val="000000" w:themeColor="text1"/>
          <w:sz w:val="24"/>
          <w:szCs w:val="24"/>
          <w14:textFill>
            <w14:solidFill>
              <w14:schemeClr w14:val="tx1"/>
            </w14:solidFill>
          </w14:textFill>
        </w:rPr>
        <w:t>完成</w:t>
      </w:r>
      <w:r>
        <w:rPr>
          <w:rFonts w:hint="eastAsia" w:ascii="方正仿宋_GBK" w:hAnsi="宋体" w:eastAsia="方正仿宋_GBK"/>
          <w:color w:val="000000" w:themeColor="text1"/>
          <w:sz w:val="24"/>
          <w:szCs w:val="24"/>
          <w:lang w:eastAsia="zh-CN"/>
          <w14:textFill>
            <w14:solidFill>
              <w14:schemeClr w14:val="tx1"/>
            </w14:solidFill>
          </w14:textFill>
        </w:rPr>
        <w:t>合同约定的所有内容</w:t>
      </w:r>
      <w:r>
        <w:rPr>
          <w:rFonts w:hint="eastAsia" w:ascii="方正仿宋_GBK" w:hAnsi="宋体" w:eastAsia="方正仿宋_GBK"/>
          <w:color w:val="000000" w:themeColor="text1"/>
          <w:sz w:val="24"/>
          <w:szCs w:val="24"/>
          <w14:textFill>
            <w14:solidFill>
              <w14:schemeClr w14:val="tx1"/>
            </w14:solidFill>
          </w14:textFill>
        </w:rPr>
        <w:t>。</w:t>
      </w:r>
    </w:p>
    <w:p>
      <w:pPr>
        <w:pStyle w:val="5"/>
        <w:spacing w:line="400" w:lineRule="exact"/>
        <w:ind w:firstLine="360" w:firstLineChars="15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（二）</w:t>
      </w:r>
      <w:r>
        <w:rPr>
          <w:rFonts w:hint="eastAsia" w:ascii="方正仿宋_GBK" w:hAnsi="宋体" w:eastAsia="方正仿宋_GBK"/>
          <w:color w:val="000000" w:themeColor="text1"/>
          <w:sz w:val="24"/>
          <w:szCs w:val="24"/>
          <w:lang w:eastAsia="zh-CN"/>
          <w14:textFill>
            <w14:solidFill>
              <w14:schemeClr w14:val="tx1"/>
            </w14:solidFill>
          </w14:textFill>
        </w:rPr>
        <w:t>交货</w:t>
      </w:r>
      <w:r>
        <w:rPr>
          <w:rFonts w:hint="eastAsia" w:ascii="方正仿宋_GBK" w:hAnsi="宋体" w:eastAsia="方正仿宋_GBK"/>
          <w:color w:val="000000" w:themeColor="text1"/>
          <w:sz w:val="24"/>
          <w:szCs w:val="24"/>
          <w:lang w:val="en-US" w:eastAsia="zh-CN"/>
          <w14:textFill>
            <w14:solidFill>
              <w14:schemeClr w14:val="tx1"/>
            </w14:solidFill>
          </w14:textFill>
        </w:rPr>
        <w:t>/实施</w:t>
      </w:r>
      <w:r>
        <w:rPr>
          <w:rFonts w:hint="eastAsia" w:ascii="方正仿宋_GBK" w:hAnsi="宋体" w:eastAsia="方正仿宋_GBK"/>
          <w:color w:val="000000" w:themeColor="text1"/>
          <w:sz w:val="24"/>
          <w:szCs w:val="24"/>
          <w14:textFill>
            <w14:solidFill>
              <w14:schemeClr w14:val="tx1"/>
            </w14:solidFill>
          </w14:textFill>
        </w:rPr>
        <w:t>地点</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lang w:eastAsia="zh-CN"/>
          <w14:textFill>
            <w14:solidFill>
              <w14:schemeClr w14:val="tx1"/>
            </w14:solidFill>
          </w14:textFill>
        </w:rPr>
        <w:t>重庆城市管理职业学院</w:t>
      </w:r>
      <w:r>
        <w:rPr>
          <w:rFonts w:hint="eastAsia" w:ascii="方正仿宋_GBK" w:hAnsi="宋体" w:eastAsia="方正仿宋_GBK"/>
          <w:color w:val="000000" w:themeColor="text1"/>
          <w:sz w:val="24"/>
          <w:szCs w:val="24"/>
          <w:lang w:val="en-US" w:eastAsia="zh-CN"/>
          <w14:textFill>
            <w14:solidFill>
              <w14:schemeClr w14:val="tx1"/>
            </w14:solidFill>
          </w14:textFill>
        </w:rPr>
        <w:t>致远园三四舍中间土地</w:t>
      </w:r>
      <w:r>
        <w:rPr>
          <w:rFonts w:hint="eastAsia" w:ascii="方正仿宋_GBK" w:hAnsi="宋体" w:eastAsia="方正仿宋_GBK"/>
          <w:color w:val="000000" w:themeColor="text1"/>
          <w:sz w:val="24"/>
          <w:szCs w:val="24"/>
          <w14:textFill>
            <w14:solidFill>
              <w14:schemeClr w14:val="tx1"/>
            </w14:solidFill>
          </w14:textFill>
        </w:rPr>
        <w:t>。</w:t>
      </w:r>
    </w:p>
    <w:p>
      <w:pPr>
        <w:pStyle w:val="5"/>
        <w:spacing w:line="400" w:lineRule="exact"/>
        <w:ind w:firstLine="360" w:firstLineChars="15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（三）验收方式</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1.货物到达现场后，供应商应经采购人或其指定验收单位清点品名、规格、数量；检查外观，作出验收记录，双方签字确认。</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2.供应商应保证货物到达用户所在地完好无损，如有缺漏、损坏，由供应商负责调换、补齐或赔偿。</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3.供应商应提供完备的技术资料、装箱单和合格证等，并派遣专业技术人员进行现场安装调试。验收合格条件如下：</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3.1设备品种、规格、数量、技术参数以及商品品牌、制造商等与采购合同一致，性能指标达到规定的标准。</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3.2货物技术资料、装箱单、合格证等资料齐全。</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3.3在规定时间内完成交货并验收，并经采购人确认。</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4.供应商提供的货物未达到</w:t>
      </w:r>
      <w:r>
        <w:rPr>
          <w:rFonts w:hint="eastAsia" w:ascii="方正仿宋_GBK" w:hAnsi="宋体" w:eastAsia="方正仿宋_GBK"/>
          <w:color w:val="000000" w:themeColor="text1"/>
          <w:sz w:val="24"/>
          <w:szCs w:val="24"/>
          <w:lang w:eastAsia="zh-CN"/>
          <w14:textFill>
            <w14:solidFill>
              <w14:schemeClr w14:val="tx1"/>
            </w14:solidFill>
          </w14:textFill>
        </w:rPr>
        <w:t>采购</w:t>
      </w:r>
      <w:r>
        <w:rPr>
          <w:rFonts w:hint="eastAsia" w:ascii="方正仿宋_GBK" w:hAnsi="宋体" w:eastAsia="方正仿宋_GBK"/>
          <w:color w:val="000000" w:themeColor="text1"/>
          <w:sz w:val="24"/>
          <w:szCs w:val="24"/>
          <w14:textFill>
            <w14:solidFill>
              <w14:schemeClr w14:val="tx1"/>
            </w14:solidFill>
          </w14:textFill>
        </w:rPr>
        <w:t>规定要求，且对采购人造成损失的，由供应商承担一切责任，并赔偿所造成的损失。</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5.大型或者复杂的政府采购产品项目，采购人可邀请国家认可的质量检测机构参加验收工作。</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6.采购人需要制造商对成交供应商交付的产品（包括质量、技术参数等）进行确认的，制造商应予以配合，并出具书面意见。</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7.产品包装材料归采购人所有。</w:t>
      </w:r>
    </w:p>
    <w:p>
      <w:pPr>
        <w:pStyle w:val="2"/>
        <w:spacing w:before="0" w:after="0" w:line="440" w:lineRule="exact"/>
        <w:rPr>
          <w:rFonts w:hint="eastAsia" w:ascii="方正仿宋_GBK" w:hAnsi="宋体" w:eastAsia="方正仿宋_GBK" w:cs="Times New Roman"/>
          <w:b/>
          <w:color w:val="000000" w:themeColor="text1"/>
          <w:sz w:val="24"/>
          <w:szCs w:val="24"/>
          <w14:textFill>
            <w14:solidFill>
              <w14:schemeClr w14:val="tx1"/>
            </w14:solidFill>
          </w14:textFill>
        </w:rPr>
      </w:pPr>
      <w:r>
        <w:rPr>
          <w:rFonts w:hint="eastAsia" w:ascii="方正仿宋_GBK" w:hAnsi="宋体" w:eastAsia="方正仿宋_GBK" w:cs="Times New Roman"/>
          <w:b/>
          <w:color w:val="000000" w:themeColor="text1"/>
          <w:sz w:val="24"/>
          <w:szCs w:val="24"/>
          <w14:textFill>
            <w14:solidFill>
              <w14:schemeClr w14:val="tx1"/>
            </w14:solidFill>
          </w14:textFill>
        </w:rPr>
        <w:t>二、质量保证及售后服务</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（一）产品质量保证期</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1.自验收合格之日起，</w:t>
      </w:r>
      <w:r>
        <w:rPr>
          <w:rFonts w:hint="eastAsia" w:ascii="方正仿宋_GBK" w:hAnsi="宋体" w:eastAsia="方正仿宋_GBK"/>
          <w:color w:val="000000" w:themeColor="text1"/>
          <w:sz w:val="24"/>
          <w:szCs w:val="24"/>
          <w:highlight w:val="none"/>
          <w14:textFill>
            <w14:solidFill>
              <w14:schemeClr w14:val="tx1"/>
            </w14:solidFill>
          </w14:textFill>
        </w:rPr>
        <w:t>提供1年免费质保期</w:t>
      </w:r>
      <w:r>
        <w:rPr>
          <w:rFonts w:hint="eastAsia" w:ascii="方正仿宋_GBK" w:hAnsi="宋体" w:eastAsia="方正仿宋_GBK"/>
          <w:color w:val="000000" w:themeColor="text1"/>
          <w:sz w:val="24"/>
          <w:szCs w:val="24"/>
          <w14:textFill>
            <w14:solidFill>
              <w14:schemeClr w14:val="tx1"/>
            </w14:solidFill>
          </w14:textFill>
        </w:rPr>
        <w:t>。</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2.采购货物属于国家规定“三包”范围的，其产品质量保证期不得低于“三包”规定。</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3.供应商的质量保证期承诺优于国家“三包”规定的，按供应商实际承诺执行。</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4.采购货物由制造商（指产品生产制造商，或其负责销售、售后服务机构，以下同）负责标准售后服务的，应当在</w:t>
      </w:r>
      <w:r>
        <w:rPr>
          <w:rFonts w:hint="eastAsia" w:ascii="方正仿宋_GBK" w:hAnsi="宋体" w:eastAsia="方正仿宋_GBK"/>
          <w:color w:val="000000" w:themeColor="text1"/>
          <w:sz w:val="24"/>
          <w:szCs w:val="24"/>
          <w:lang w:eastAsia="zh-CN"/>
          <w14:textFill>
            <w14:solidFill>
              <w14:schemeClr w14:val="tx1"/>
            </w14:solidFill>
          </w14:textFill>
        </w:rPr>
        <w:t>响应</w:t>
      </w:r>
      <w:r>
        <w:rPr>
          <w:rFonts w:hint="eastAsia" w:ascii="方正仿宋_GBK" w:hAnsi="宋体" w:eastAsia="方正仿宋_GBK"/>
          <w:color w:val="000000" w:themeColor="text1"/>
          <w:sz w:val="24"/>
          <w:szCs w:val="24"/>
          <w14:textFill>
            <w14:solidFill>
              <w14:schemeClr w14:val="tx1"/>
            </w14:solidFill>
          </w14:textFill>
        </w:rPr>
        <w:t>文件中予以明确说明,并附制造商售后服务承诺。</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（二）售后服务内容</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供应商和制造商在质量保证期内应当为采购人提供以下技术支持服务：</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1.质量保证期内服务要求</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1.1电话咨询</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成交供应商和制造商应当为用户提供技术援助电话，解答用户在使用中遇到的问题，及时为用户提出解决问题的建议。</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1.2现场响应</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用户遇到使用及技术问题，电话咨询不能解决的，成交供应商或制造商应在24小时内采取相应响应措施；无法在24小时内解决的，应在48小时内派出专业人员进行技术支持。</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1.3技术升级</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在质保期内，如果成交供应商和制造商的产品技术升级，成交供应商应及时通知采购人，如采购人有相应要求，成交供应商和制造商应对采购人进行升级服务。</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2.质保期外服务要求</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2.1质量保证期过后，成交供应商和制造商应同样提供免费电话咨询服务，并应承诺提供产品上门维护服务。</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2.2质量保证期过后，采购人需要继续由原成交供应商和制造商提供售后服务的，成交供应商和制造商应以优惠价格提供售后服务。</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（三）故障响应时间要求</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供应商接到使用方产品出现问题的通知后立即作出响应，2小时内到达现场进行处理。</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（四）维修配件</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成交供应商或制造商应提供备品备件，保证用户应急所需。使用的维修零配件应为原厂配件，未经用户同意不得使用非原厂配件。</w:t>
      </w:r>
    </w:p>
    <w:p>
      <w:pPr>
        <w:pStyle w:val="2"/>
        <w:spacing w:before="0" w:after="0" w:line="400" w:lineRule="exact"/>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三、报价要求</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报价须为人民币报价，包括完成本项目所需的</w:t>
      </w:r>
      <w:r>
        <w:rPr>
          <w:rFonts w:hint="eastAsia" w:ascii="方正仿宋_GBK" w:hAnsi="宋体" w:eastAsia="方正仿宋_GBK"/>
          <w:color w:val="000000" w:themeColor="text1"/>
          <w:sz w:val="24"/>
          <w:szCs w:val="24"/>
          <w:lang w:eastAsia="zh-CN"/>
          <w14:textFill>
            <w14:solidFill>
              <w14:schemeClr w14:val="tx1"/>
            </w14:solidFill>
          </w14:textFill>
        </w:rPr>
        <w:t>货物、</w:t>
      </w:r>
      <w:r>
        <w:rPr>
          <w:rFonts w:hint="eastAsia" w:ascii="方正仿宋_GBK" w:hAnsi="宋体" w:eastAsia="方正仿宋_GBK"/>
          <w:color w:val="000000" w:themeColor="text1"/>
          <w:sz w:val="24"/>
          <w:szCs w:val="24"/>
          <w14:textFill>
            <w14:solidFill>
              <w14:schemeClr w14:val="tx1"/>
            </w14:solidFill>
          </w14:textFill>
        </w:rPr>
        <w:t>服务</w:t>
      </w:r>
      <w:r>
        <w:rPr>
          <w:rFonts w:hint="eastAsia" w:ascii="方正仿宋_GBK" w:hAnsi="宋体" w:eastAsia="方正仿宋_GBK"/>
          <w:color w:val="000000" w:themeColor="text1"/>
          <w:sz w:val="24"/>
          <w:szCs w:val="24"/>
          <w:lang w:eastAsia="zh-CN"/>
          <w14:textFill>
            <w14:solidFill>
              <w14:schemeClr w14:val="tx1"/>
            </w14:solidFill>
          </w14:textFill>
        </w:rPr>
        <w:t>与工程</w:t>
      </w:r>
      <w:r>
        <w:rPr>
          <w:rFonts w:hint="eastAsia" w:ascii="方正仿宋_GBK" w:hAnsi="宋体" w:eastAsia="方正仿宋_GBK"/>
          <w:color w:val="000000" w:themeColor="text1"/>
          <w:sz w:val="24"/>
          <w:szCs w:val="24"/>
          <w14:textFill>
            <w14:solidFill>
              <w14:schemeClr w14:val="tx1"/>
            </w14:solidFill>
          </w14:textFill>
        </w:rPr>
        <w:t>及各种应纳的税费。因成交供应商自身原因造成漏报、少报皆由其自行承担责任，采购人不再补偿。</w:t>
      </w:r>
    </w:p>
    <w:p>
      <w:pPr>
        <w:pStyle w:val="3"/>
        <w:keepNext/>
        <w:keepLines/>
        <w:adjustRightInd w:val="0"/>
        <w:snapToGrid w:val="0"/>
        <w:spacing w:before="0" w:beforeAutospacing="0" w:after="0" w:afterAutospacing="0" w:line="400" w:lineRule="exact"/>
        <w:jc w:val="both"/>
        <w:rPr>
          <w:rFonts w:hint="eastAsia" w:ascii="方正仿宋_GBK" w:eastAsia="方正仿宋_GBK" w:cs="Times New Roman"/>
          <w:b/>
          <w:color w:val="000000" w:themeColor="text1"/>
          <w:kern w:val="2"/>
          <w:sz w:val="24"/>
          <w:szCs w:val="24"/>
          <w14:textFill>
            <w14:solidFill>
              <w14:schemeClr w14:val="tx1"/>
            </w14:solidFill>
          </w14:textFill>
        </w:rPr>
      </w:pPr>
      <w:bookmarkStart w:id="0" w:name="_Toc75793512"/>
      <w:bookmarkStart w:id="1" w:name="_Toc267320051"/>
      <w:r>
        <w:rPr>
          <w:rFonts w:hint="eastAsia" w:ascii="方正仿宋_GBK" w:eastAsia="方正仿宋_GBK" w:cs="Times New Roman"/>
          <w:b/>
          <w:color w:val="000000" w:themeColor="text1"/>
          <w:kern w:val="2"/>
          <w:sz w:val="24"/>
          <w:szCs w:val="24"/>
          <w14:textFill>
            <w14:solidFill>
              <w14:schemeClr w14:val="tx1"/>
            </w14:solidFill>
          </w14:textFill>
        </w:rPr>
        <w:t>四、付款方式</w:t>
      </w:r>
      <w:bookmarkEnd w:id="0"/>
      <w:bookmarkEnd w:id="1"/>
    </w:p>
    <w:p>
      <w:pPr>
        <w:spacing w:line="400" w:lineRule="exact"/>
        <w:ind w:firstLine="720" w:firstLineChars="300"/>
        <w:rPr>
          <w:rFonts w:hint="eastAsia" w:ascii="方正仿宋_GBK" w:hAnsi="宋体" w:eastAsia="方正仿宋_GBK"/>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color w:val="000000" w:themeColor="text1"/>
          <w:sz w:val="24"/>
          <w:szCs w:val="24"/>
          <w:highlight w:val="none"/>
          <w:lang w:eastAsia="zh-CN"/>
          <w14:textFill>
            <w14:solidFill>
              <w14:schemeClr w14:val="tx1"/>
            </w14:solidFill>
          </w14:textFill>
        </w:rPr>
        <w:t>货物类</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验收合格后，成交供应商向采购人提供增值税普通（或专用）发票，采购人向成交供应商支付合同全款；</w:t>
      </w:r>
    </w:p>
    <w:p>
      <w:pPr>
        <w:spacing w:line="400" w:lineRule="exact"/>
        <w:ind w:firstLine="720" w:firstLineChars="300"/>
        <w:rPr>
          <w:rFonts w:hint="eastAsia" w:ascii="方正仿宋_GBK" w:hAnsi="宋体" w:eastAsia="方正仿宋_GBK" w:cs="Times New Roman"/>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color w:val="000000" w:themeColor="text1"/>
          <w:sz w:val="24"/>
          <w:szCs w:val="24"/>
          <w:highlight w:val="none"/>
          <w:lang w:val="en-US" w:eastAsia="zh-CN"/>
          <w14:textFill>
            <w14:solidFill>
              <w14:schemeClr w14:val="tx1"/>
            </w14:solidFill>
          </w14:textFill>
        </w:rPr>
        <w:t>（二）服务类：</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验收合格后，成交供应商向采购人提供增值税普通（或专用）发票，采购人向成交供应商支付合同全款（可以根据项目进度，规定付款比例）；</w:t>
      </w:r>
    </w:p>
    <w:p>
      <w:pPr>
        <w:spacing w:line="400" w:lineRule="exact"/>
        <w:ind w:firstLine="720" w:firstLineChars="300"/>
        <w:rPr>
          <w:rFonts w:hint="eastAsia" w:ascii="方正仿宋_GBK" w:hAnsi="宋体" w:eastAsia="方正仿宋_GBK" w:cs="Times New Roman"/>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s="Times New Roman"/>
          <w:color w:val="000000" w:themeColor="text1"/>
          <w:sz w:val="24"/>
          <w:szCs w:val="24"/>
          <w:highlight w:val="none"/>
          <w:lang w:val="en-US" w:eastAsia="zh-CN"/>
          <w14:textFill>
            <w14:solidFill>
              <w14:schemeClr w14:val="tx1"/>
            </w14:solidFill>
          </w14:textFill>
        </w:rPr>
        <w:t>（三）工程类（含货物、服务）：如该项目中既有货物、服务，还有装饰装修工程，货物服务部分可以验收合格后，成交供应商向采购人提供增值税</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普通（或专用）</w:t>
      </w:r>
      <w:r>
        <w:rPr>
          <w:rFonts w:hint="eastAsia" w:ascii="方正仿宋_GBK" w:hAnsi="宋体" w:eastAsia="方正仿宋_GBK" w:cs="Times New Roman"/>
          <w:color w:val="000000" w:themeColor="text1"/>
          <w:sz w:val="24"/>
          <w:szCs w:val="24"/>
          <w:highlight w:val="none"/>
          <w:lang w:val="en-US" w:eastAsia="zh-CN"/>
          <w14:textFill>
            <w14:solidFill>
              <w14:schemeClr w14:val="tx1"/>
            </w14:solidFill>
          </w14:textFill>
        </w:rPr>
        <w:t>发票，采购人向成交供应商支付该部分合同款；装饰装修工程部分以甲乙双方共同确认的采购人结算审核价格为准，成交供应商按采购人结算审核价格提供增值税普通发票，采购人向成交供应商支付该部分合同款。（可以根据项目进度，规定付款比例）。</w:t>
      </w:r>
    </w:p>
    <w:p>
      <w:pPr>
        <w:pStyle w:val="2"/>
        <w:spacing w:before="0" w:after="0" w:line="400" w:lineRule="exact"/>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五、知识产权及保密要求</w:t>
      </w:r>
    </w:p>
    <w:p>
      <w:pPr>
        <w:ind w:firstLine="600" w:firstLineChars="25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供应商应当保证其有关履行本合同的任何行为不会侵犯任何第三方的知识产权。本项合同全部或任何部分的相关知识产权，包括相关权益，均归采购人所有。采购人将拥有本协议项目下所有成果的完整知识产权。</w:t>
      </w:r>
      <w:r>
        <w:rPr>
          <w:rFonts w:hint="eastAsia" w:ascii="方正仿宋_GBK" w:hAnsi="宋体" w:eastAsia="方正仿宋_GBK" w:cs="宋体"/>
          <w:color w:val="000000" w:themeColor="text1"/>
          <w:kern w:val="0"/>
          <w:sz w:val="24"/>
          <w:szCs w:val="24"/>
          <w14:textFill>
            <w14:solidFill>
              <w14:schemeClr w14:val="tx1"/>
            </w14:solidFill>
          </w14:textFill>
        </w:rPr>
        <w:t>如果第三方提出侵权指控，</w:t>
      </w:r>
      <w:r>
        <w:rPr>
          <w:rFonts w:hint="eastAsia" w:ascii="方正仿宋_GBK" w:hAnsi="宋体" w:eastAsia="方正仿宋_GBK" w:cs="宋体"/>
          <w:color w:val="000000" w:themeColor="text1"/>
          <w:kern w:val="0"/>
          <w:sz w:val="24"/>
          <w:szCs w:val="24"/>
          <w:lang w:eastAsia="zh-CN"/>
          <w14:textFill>
            <w14:solidFill>
              <w14:schemeClr w14:val="tx1"/>
            </w14:solidFill>
          </w14:textFill>
        </w:rPr>
        <w:t>供应商</w:t>
      </w:r>
      <w:r>
        <w:rPr>
          <w:rFonts w:hint="eastAsia" w:ascii="方正仿宋_GBK" w:hAnsi="宋体" w:eastAsia="方正仿宋_GBK" w:cs="宋体"/>
          <w:color w:val="000000" w:themeColor="text1"/>
          <w:kern w:val="0"/>
          <w:sz w:val="24"/>
          <w:szCs w:val="24"/>
          <w14:textFill>
            <w14:solidFill>
              <w14:schemeClr w14:val="tx1"/>
            </w14:solidFill>
          </w14:textFill>
        </w:rPr>
        <w:t>应承担由此而引起的一切法律责任和费用。</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注：（若涉及软件开发等服务类项目知识产权的，知识产权归采购人所有）。</w:t>
      </w:r>
    </w:p>
    <w:p>
      <w:pPr>
        <w:pStyle w:val="2"/>
        <w:spacing w:before="0" w:after="0" w:line="400" w:lineRule="exact"/>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六、培训</w:t>
      </w:r>
    </w:p>
    <w:p>
      <w:pPr>
        <w:snapToGrid w:val="0"/>
        <w:spacing w:line="400" w:lineRule="exact"/>
        <w:ind w:firstLine="54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成交供应商须提供对设备的操作培训，使相关使用人员能够正常操作相关设备。</w:t>
      </w:r>
    </w:p>
    <w:p>
      <w:pPr>
        <w:pStyle w:val="2"/>
        <w:spacing w:before="0" w:after="0" w:line="400" w:lineRule="exact"/>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七、其他</w:t>
      </w:r>
    </w:p>
    <w:p>
      <w:pPr>
        <w:snapToGrid w:val="0"/>
        <w:spacing w:line="400" w:lineRule="exact"/>
        <w:ind w:firstLine="540"/>
        <w:rPr>
          <w:rFonts w:hint="eastAsia" w:ascii="方正仿宋_GBK" w:eastAsia="方正仿宋_GBK"/>
          <w:color w:val="000000" w:themeColor="text1"/>
          <w:sz w:val="24"/>
          <w:szCs w:val="24"/>
          <w:lang w:eastAsia="zh-CN"/>
          <w14:textFill>
            <w14:solidFill>
              <w14:schemeClr w14:val="tx1"/>
            </w14:solidFill>
          </w14:textFill>
        </w:rPr>
      </w:pPr>
      <w:r>
        <w:rPr>
          <w:rFonts w:hint="eastAsia" w:ascii="方正仿宋_GBK" w:eastAsia="方正仿宋_GBK"/>
          <w:color w:val="000000" w:themeColor="text1"/>
          <w:sz w:val="24"/>
          <w:szCs w:val="24"/>
          <w:lang w:eastAsia="zh-CN"/>
          <w14:textFill>
            <w14:solidFill>
              <w14:schemeClr w14:val="tx1"/>
            </w14:solidFill>
          </w14:textFill>
        </w:rPr>
        <w:t>（一）供应商必须在响应文件中对以上条款和服务承诺明确列出，承诺内容必须达到本篇及其他条款要求。</w:t>
      </w:r>
    </w:p>
    <w:p>
      <w:pPr>
        <w:ind w:firstLine="480" w:firstLineChars="200"/>
        <w:rPr>
          <w:rFonts w:hint="eastAsia" w:ascii="方正仿宋_GBK" w:hAnsi="Times New Roman" w:eastAsia="方正仿宋_GBK" w:cs="Times New Roman"/>
          <w:color w:val="000000" w:themeColor="text1"/>
          <w:kern w:val="2"/>
          <w:sz w:val="24"/>
          <w:szCs w:val="24"/>
          <w:lang w:val="en-US" w:eastAsia="zh-CN" w:bidi="ar-SA"/>
          <w14:textFill>
            <w14:solidFill>
              <w14:schemeClr w14:val="tx1"/>
            </w14:solidFill>
          </w14:textFill>
        </w:rPr>
        <w:sectPr>
          <w:pgSz w:w="11906" w:h="16838"/>
          <w:pgMar w:top="1157" w:right="1134" w:bottom="1157" w:left="1134" w:header="851" w:footer="992" w:gutter="0"/>
          <w:cols w:space="720" w:num="1"/>
          <w:docGrid w:type="lines" w:linePitch="312" w:charSpace="0"/>
        </w:sectPr>
      </w:pPr>
      <w:r>
        <w:rPr>
          <w:rFonts w:hint="eastAsia" w:ascii="方正仿宋_GBK" w:hAnsi="Times New Roman" w:eastAsia="方正仿宋_GBK" w:cs="Times New Roman"/>
          <w:color w:val="000000" w:themeColor="text1"/>
          <w:kern w:val="2"/>
          <w:sz w:val="24"/>
          <w:szCs w:val="24"/>
          <w:lang w:val="en-US" w:eastAsia="zh-CN" w:bidi="ar-SA"/>
          <w14:textFill>
            <w14:solidFill>
              <w14:schemeClr w14:val="tx1"/>
            </w14:solidFill>
          </w14:textFill>
        </w:rPr>
        <w:t>（二）其他未尽事宜由供需双方在采购合同中详细约定。</w:t>
      </w:r>
    </w:p>
    <w:p>
      <w:pPr>
        <w:rPr>
          <w:rFonts w:hint="default"/>
          <w:color w:val="000000" w:themeColor="text1"/>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05A5A"/>
    <w:multiLevelType w:val="singleLevel"/>
    <w:tmpl w:val="E0F05A5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YzY3NzRlNzBhNDg1NmJhYWMwY2ZhNzVhNzY4MTUifQ=="/>
  </w:docVars>
  <w:rsids>
    <w:rsidRoot w:val="730A4345"/>
    <w:rsid w:val="0F4C365D"/>
    <w:rsid w:val="232C6CA3"/>
    <w:rsid w:val="2DA967FE"/>
    <w:rsid w:val="40B979E5"/>
    <w:rsid w:val="68710F0A"/>
    <w:rsid w:val="730A4345"/>
    <w:rsid w:val="73D6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hint="default" w:ascii="宋体" w:hAnsi="Courier New"/>
      <w:szCs w:val="21"/>
    </w:rPr>
  </w:style>
  <w:style w:type="paragraph" w:styleId="5">
    <w:name w:val="Body Text Indent 2"/>
    <w:basedOn w:val="1"/>
    <w:qFormat/>
    <w:uiPriority w:val="0"/>
    <w:pPr>
      <w:snapToGrid w:val="0"/>
      <w:spacing w:line="560" w:lineRule="atLeast"/>
      <w:ind w:firstLine="54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1832</Words>
  <Characters>1954</Characters>
  <Lines>0</Lines>
  <Paragraphs>0</Paragraphs>
  <TotalTime>1</TotalTime>
  <ScaleCrop>false</ScaleCrop>
  <LinksUpToDate>false</LinksUpToDate>
  <CharactersWithSpaces>2030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2024-05-29T10:43:00Z</dcterms:created>
  <dc:creator>颜颜</dc:creator>
  <cp:lastModifiedBy>颜颜</cp:lastModifiedBy>
  <dcterms:modified xsi:type="dcterms:W3CDTF">2024-06-06T08:25:05Z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863580F6280345A39DA64BF1B930044C_13</vt:lpwstr>
  </property>
</Properties>
</file>